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13C414" w14:textId="026B9315" w:rsidR="00781F27" w:rsidRPr="0027221D" w:rsidRDefault="00781F27" w:rsidP="00781F27">
      <w:pPr>
        <w:spacing w:before="240" w:after="240"/>
        <w:rPr>
          <w:rFonts w:ascii="Times New Roman" w:hAnsi="Times New Roman" w:cs="Times New Roman"/>
          <w:b/>
          <w:sz w:val="24"/>
          <w:szCs w:val="24"/>
        </w:rPr>
      </w:pPr>
      <w:r w:rsidRPr="0027221D">
        <w:rPr>
          <w:rFonts w:ascii="Times New Roman" w:hAnsi="Times New Roman" w:cs="Times New Roman"/>
          <w:b/>
          <w:sz w:val="24"/>
          <w:szCs w:val="24"/>
        </w:rPr>
        <w:t xml:space="preserve">MHST601 Unit </w:t>
      </w:r>
      <w:r w:rsidR="000555D2">
        <w:rPr>
          <w:rFonts w:ascii="Times New Roman" w:hAnsi="Times New Roman" w:cs="Times New Roman"/>
          <w:b/>
          <w:sz w:val="24"/>
          <w:szCs w:val="24"/>
        </w:rPr>
        <w:t>3</w:t>
      </w:r>
      <w:bookmarkStart w:id="0" w:name="_GoBack"/>
      <w:bookmarkEnd w:id="0"/>
    </w:p>
    <w:p w14:paraId="19560CF5" w14:textId="77777777" w:rsidR="00781F27" w:rsidRPr="0027221D" w:rsidRDefault="00781F27" w:rsidP="00781F27">
      <w:pPr>
        <w:spacing w:before="240" w:after="240"/>
        <w:rPr>
          <w:rFonts w:ascii="Times New Roman" w:hAnsi="Times New Roman" w:cs="Times New Roman"/>
          <w:b/>
          <w:sz w:val="24"/>
          <w:szCs w:val="24"/>
        </w:rPr>
      </w:pPr>
      <w:r w:rsidRPr="0027221D">
        <w:rPr>
          <w:rFonts w:ascii="Times New Roman" w:hAnsi="Times New Roman" w:cs="Times New Roman"/>
          <w:b/>
          <w:sz w:val="24"/>
          <w:szCs w:val="24"/>
        </w:rPr>
        <w:t>Annotations</w:t>
      </w:r>
    </w:p>
    <w:p w14:paraId="153BD6BE" w14:textId="77777777" w:rsidR="00CE6F6D" w:rsidRPr="0027221D" w:rsidRDefault="00781F27">
      <w:pPr>
        <w:rPr>
          <w:rFonts w:ascii="Times New Roman" w:hAnsi="Times New Roman" w:cs="Times New Roman"/>
          <w:sz w:val="24"/>
          <w:szCs w:val="24"/>
        </w:rPr>
      </w:pPr>
      <w:r w:rsidRPr="0027221D">
        <w:rPr>
          <w:rFonts w:ascii="Times New Roman" w:hAnsi="Times New Roman" w:cs="Times New Roman"/>
          <w:sz w:val="24"/>
          <w:szCs w:val="24"/>
        </w:rPr>
        <w:t xml:space="preserve">Emphasizes one's perceived fullness of life as the defining characteristic of health. Discusses health as a continuum that is different for each person depending on their background, </w:t>
      </w:r>
      <w:r w:rsidRPr="0027221D">
        <w:rPr>
          <w:rFonts w:ascii="Times New Roman" w:hAnsi="Times New Roman" w:cs="Times New Roman"/>
          <w:sz w:val="24"/>
          <w:szCs w:val="24"/>
        </w:rPr>
        <w:t>expectations</w:t>
      </w:r>
      <w:r w:rsidRPr="0027221D">
        <w:rPr>
          <w:rFonts w:ascii="Times New Roman" w:hAnsi="Times New Roman" w:cs="Times New Roman"/>
          <w:sz w:val="24"/>
          <w:szCs w:val="24"/>
        </w:rPr>
        <w:t xml:space="preserve"> and perception. Claims health and disease are not mutually exclusive and can co-exist. Written by a retired military colonel, the purpose is to assist in reaching a practical, accurate and </w:t>
      </w:r>
      <w:r w:rsidRPr="0027221D">
        <w:rPr>
          <w:rFonts w:ascii="Times New Roman" w:hAnsi="Times New Roman" w:cs="Times New Roman"/>
          <w:sz w:val="24"/>
          <w:szCs w:val="24"/>
        </w:rPr>
        <w:t>achievable</w:t>
      </w:r>
      <w:r w:rsidRPr="0027221D">
        <w:rPr>
          <w:rFonts w:ascii="Times New Roman" w:hAnsi="Times New Roman" w:cs="Times New Roman"/>
          <w:sz w:val="24"/>
          <w:szCs w:val="24"/>
        </w:rPr>
        <w:t xml:space="preserve"> definition of health to improve focus and reduce waste in healthcare funding and resources</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{"citationItems":[{"id":"ITEM-1","itemData":{"DOI":"10.1093/milmed/usy213","abstract":"Aristotle saw that the striving of humanity was toward being well-a physical, mental and spiritual state where life flourished. A contemporary definition of health recognizes that disease and disability can and often do co-exist with wellness. In this new conception, health is transformed from a state that requires the absence of disease to a state where the central theme is the fullness of life. Health becomes not a static state of being, but a dynamic quality of living where body, mind, and spirit are fully employed to make the most of each day. \"Healthy citizens are the greatest asset any country can have.\" 1-Winston Churchill Too often in the USA, health is synonymous with health care. This is not merely a philosophical failure, but an economic one. In a health care-centric paradigm faced with ever-rising costs, citizens are categorized according to their disease burden and related financial demands, causing individuals to be viewed as generators of costs rather than as assets. A health care and cost-centric paradigm also has a de fac-to emphasis on diseases-the source of nearly all costs-rather than on health. This makes it difficult not only to value health as an intrinsic good but also to envision a scenario where disease is tantamount to failure, both on a system and an individual level. To make a transition from health care to health requires reframing the belief that individuals belong on the negative side of a balance sheet. When viewed as an expense, all actions are oriented around reducing costs. This tendency is, of course, understandable; it is easier to focus on what we see-expenses-rather than what is unseen-human potential. The tendency to focus on what is seen explains why we think about health in terms of disease versus potential, emphasizing sick care over wellness and prevention. Harry Truman shared this sentiment 60 years ago, when he looked to improve the health status of the nation. \"We should resolve now that the health of this nation is a national concern ,\" Truman said, \"that financial barriers in the way of attaining health shall be removed; that the health of all its citizens deserves the help of all the nation.\" 2 It may be decades later, but now is the time to adopt Truman's argument and reorient our health care system toward health. When viewed as an asset, rather than a cost, individuals are incen-tivized to maximize their full potential.","author":[{"dropping-particle":"","family":"Bradley","given":"Kent L","non-dropping-particle":"","parse-names":false,"suffix":""},{"dropping-particle":"","family":"Goetz","given":"Thomas","non-dropping-particle":"","parse-names":false,"suffix":""},{"dropping-particle":"","family":"Viswanathan","given":"Sheila","non-dropping-particle":"","parse-names":false,"suffix":""}],"container-title":"MILITARY MEDICINE","id":"ITEM-1","issued":{"date-parts":[["2018"]]},"note":"Emphasizes one's perceived fullness of life as the defining characteristic of health. Discusses health as a continuum that is different for each person depending on their background, expectaions and perception. Claims health and disease are not mutually exclusive and can co-exist. Written by a retired military colonel, the purpose is to assist in reaching a practical, accurate and achievable definition of health to improve focus and reduce waste in healthcare funding and resources.","page":"204-207","title":"Toward a Contemporary Definition of Health","type":"article-journal","volume":"183"},"uris":["http://www.mendeley.com/documents/?uuid=0b4a7479-9f6f-3440-aeb1-23d1c5493c37"]}],"mendeley":{"formattedCitation":"(Bradley, Goetz, &amp; Viswanathan, 2018)","plainTextFormattedCitation":"(Bradley, Goetz, &amp; Viswanathan, 2018)","previouslyFormattedCitation":"(Bradley, Goetz, &amp; Viswanathan, 2018)"},"properties":{"noteIndex":0},"schema":"https://github.com/citation-style-language/schema/raw/master/csl-citation.json"}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(Bradley, Goetz, &amp; Viswanathan, 2018)</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33A9F24B" w14:textId="77777777" w:rsidR="00781F27" w:rsidRPr="0027221D" w:rsidRDefault="00781F27"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 xml:space="preserve">Examines the definition of health and proposes that mental health and outlook may have a greater role in well being -for individual </w:t>
      </w:r>
      <w:r w:rsidRPr="0027221D">
        <w:rPr>
          <w:rFonts w:ascii="Times New Roman" w:hAnsi="Times New Roman" w:cs="Times New Roman"/>
          <w:i/>
          <w:iCs/>
          <w:sz w:val="24"/>
          <w:szCs w:val="24"/>
        </w:rPr>
        <w:t>and</w:t>
      </w:r>
      <w:r w:rsidRPr="0027221D">
        <w:rPr>
          <w:rFonts w:ascii="Times New Roman" w:hAnsi="Times New Roman" w:cs="Times New Roman"/>
          <w:sz w:val="24"/>
          <w:szCs w:val="24"/>
        </w:rPr>
        <w:t xml:space="preserve"> population- than previously identified. Purpose is to contribute to the brainstorming for criteria necessary to be included in a modern definition of health</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{"citationItems":[{"id":"ITEM-1","itemData":{"DOI":"10.1001/jama.2016.14372","ISSN":"0098-7484","author":[{"dropping-particle":"","family":"Brook","given":"Robert H.","non-dropping-particle":"","parse-names":false,"suffix":""}],"container-title":"JAMA","id":"ITEM-1","issue":"6","issued":{"date-parts":[["2017","2","14"]]},"note":"Examines the definition of health and proposes that mental health and outlook may have a greater role in well being -for individual and population- than previously identified. Purpose is to contribute to the brainstorming for criteria necessary to be included in a modern definition of health.","page":"585","publisher":"American Medical Association","title":"Should the Definition of Health Include a Measure of Tolerance?","type":"article-journal","volume":"317"},"uris":["http://www.mendeley.com/documents/?uuid=b0f49c23-ce27-3986-a3f8-6072e98f5f91"]}],"mendeley":{"formattedCitation":"(Brook, 2017)","plainTextFormattedCitation":"(Brook, 2017)","previouslyFormattedCitation":"(Brook, 2017)"},"properties":{"noteIndex":0},"schema":"https://github.com/citation-style-language/schema/raw/master/csl-citation.json"}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(Brook, 2017)</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19C0F4B9" w14:textId="77777777" w:rsidR="00781F27" w:rsidRPr="0027221D" w:rsidRDefault="00781F27"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Resource from the Canadian Institute for Health Information that provides links to statistics and other data relevant to the provision of care and access to care within the province of New Brunswick</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{"citationItems":[{"id":"ITEM-1","itemData":{"URL":"https://www.cihi.ca/en/an-in-depth-look-at-the-new-brunswick-health-care-system","accessed":{"date-parts":[["2019","6","9"]]},"author":[{"dropping-particle":"","family":"Canadian Institute for Health Information","given":"","non-dropping-particle":"","parse-names":false,"suffix":""}],"id":"ITEM-1","issued":{"date-parts":[["0"]]},"note":"Resource from the Canadian Institute for Health Information that provides links to statistics and other data relevant to the provision of care and access to care within the province of New Brunswick.","title":"An In-Depth Look at the New Brunswick Health Care System | CIHI","type":"webpage"},"uris":["http://www.mendeley.com/documents/?uuid=d86678b8-efa0-3fc1-be73-f7234a8a57f3"]}],"mendeley":{"formattedCitation":"(Canadian Institute for Health Information, n.d.)","plainTextFormattedCitation":"(Canadian Institute for Health Information, n.d.)","previouslyFormattedCitation":"(Canadian Institute for Health Information, n.d.)"},"properties":{"noteIndex":0},"schema":"https://github.com/citation-style-language/schema/raw/master/csl-citation.json"}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(Canadian Institute for Health Information, n.d.)</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1A793001" w14:textId="77777777" w:rsidR="00781F27" w:rsidRPr="0027221D" w:rsidRDefault="00781F27"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The author argues in favour of classifying the aging process as a disease. This seems to be more an exercise in challenging the reader to think outside the box than to orchestrate change. He outlines that aging serves no beneficial purpose and therefore the symptoms associated with it should be open for improvement. He does not support attempts to prevent aging altogether, but feels as though symptoms should not be ignored simply due to being universal</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{"citationItems":[{"id":"ITEM-1","itemData":{"DOI":"10.1007/978-94-017-8706-2_10-1","author":[{"dropping-particle":"","family":"Caplan","given":"Arthur","non-dropping-particle":"","parse-names":false,"suffix":""}],"container-title":"Handbook of the Philosophy of Medicine","id":"ITEM-1","issued":{"date-parts":[["2015"]]},"note":"The author argues in favour of classifying the aging process as a disease. This seems to be more an exercise in challenging the reader to think outside the box than to orchestrate change. He outlines that aging serves no beneficial purpose and therefore the symptoms associated with it should be open for improvement. He does not support attempts to prevent aging altogether, but feels as though symptoms should not be ignored simply due to being universal.","page":"1-8","publisher":"Springer Netherlands","publisher-place":"Dordrecht","title":"How Can Aging Be Thought of as Anything Other Than a Disease?","type":"chapter"},"uris":["http://www.mendeley.com/documents/?uuid=a059d311-eed8-35e8-9ca0-deb8ea7cf380"]}],"mendeley":{"formattedCitation":"(Caplan, 2015)","plainTextFormattedCitation":"(Caplan, 2015)","previouslyFormattedCitation":"(Caplan, 2015)"},"properties":{"noteIndex":0},"schema":"https://github.com/citation-style-language/schema/raw/master/csl-citation.json"}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(Caplan, 2015)</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36336530" w14:textId="77777777" w:rsidR="00781F27" w:rsidRPr="0027221D" w:rsidRDefault="00781F27"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New Brunswick provincial political party leader presents a political platform to decentralize health care services within the province. This is motivated by the public perception of a struggling healthcare system that was established by one of his rival political parties. The claim may have merit, but is presented in the shadow of political bias</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URL":"http://www.greenpartynb.ca/time_to_decentralize_health_care_decision_making","accessed":{"date-parts":[["2019","6","9"]]},"author":[{"dropping-particle":"","family":"Coon","given":"David","non-dropping-particle":"","parse-names":false,"suffix":""}],"id":"ITEM-1","issued":{"date-parts":[["2018"]]},"note":"New Brunswick provincial political party leader presents a political platform to decentralize health care services within the province. This is motivated by the public perception of a struggling healthcare system that was established by one of his rival political parties. The claim may have merit, but is presented in the shadow of political bias.","title":"Time to Decentralize Health Care Decision-Making - Green Party NB","type":"webpage"},"uris":["http://www.mendeley.com/documents/?uuid=dd1ba421-b3f2-3c77-b959-896170895996"]}],"mendeley":{"formattedCitation":"(Coon, 2018)","plainTextFormattedCitation":"(Coon, 2018)","previouslyFormattedCitation":"(Coon, 2018)"},"properties":{"noteIndex":0},"schema":"https://github.com/citation-style-language/schema/raw/master/csl-citation.json"}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(Coon, 2018)</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6CBDBF92" w14:textId="77777777" w:rsidR="00781F27" w:rsidRPr="0027221D" w:rsidRDefault="00781F27"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 xml:space="preserve">Journal article that presents the definition of health as a capability to achieve the free will to live life in a way that </w:t>
      </w:r>
      <w:proofErr w:type="gramStart"/>
      <w:r w:rsidR="00DC4F4B" w:rsidRPr="0027221D">
        <w:rPr>
          <w:rFonts w:ascii="Times New Roman" w:hAnsi="Times New Roman" w:cs="Times New Roman"/>
          <w:sz w:val="24"/>
          <w:szCs w:val="24"/>
        </w:rPr>
        <w:t>each individual</w:t>
      </w:r>
      <w:proofErr w:type="gramEnd"/>
      <w:r w:rsidRPr="0027221D">
        <w:rPr>
          <w:rFonts w:ascii="Times New Roman" w:hAnsi="Times New Roman" w:cs="Times New Roman"/>
          <w:sz w:val="24"/>
          <w:szCs w:val="24"/>
        </w:rPr>
        <w:t xml:space="preserve"> finds meaningful. This provides great respect for autonomy, which is a key ingredient to a meaningful life. This unique approach focuses on the individual's needs rather than defining a state of wellness that may be meaningless for some</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00DC4F4B" w:rsidRPr="0027221D">
        <w:rPr>
          <w:rFonts w:ascii="Times New Roman" w:hAnsi="Times New Roman" w:cs="Times New Roman"/>
          <w:sz w:val="24"/>
          <w:szCs w:val="24"/>
        </w:rPr>
        <w:instrText>ADDIN CSL_CITATION {"citationItems":[{"id":"ITEM-1","itemData":{"DOI":"10.1080/15265161.2013.802068","ISSN":"1536-0075","author":[{"dropping-particle":"","family":"Frank","given":"Lily","non-dropping-particle":"","parse-names":false,"suffix":""}],"container-title":"The American Journal of Bioethics","id":"ITEM-1","issue":"8","issued":{"date-parts":[["2013"]]},"note":"Journal article that presents the definition of health as a capability to achieve the free will to live life in a way that each individual finds meaningful. This provides great respect for autonomy, which is a key ingredient to a meaningful life. This unique approach focuses on the individual's needs rather than defining a state of wellness that may be meaningless for some.","page":"59-61","title":"To cite this article: Lily Frank (2013) Person-Centered Care, Autonomy, and the Definition of Health","type":"article-journal","volume":"13"},"uris":["http://www.mendeley.com/documents/?uuid=e8b32bf1-342c-38a2-b8a8-bcc77be77f1a"]}],"mendeley":{"formattedCitation":"(Frank, 2013)","plainTextFormattedCitation":"(Frank, 2013)","previouslyFormattedCitation":"(Frank, 2013)"},"properties":{"noteIndex":0},"schema":"https://github.com/citation-style-language/schema/raw/master/csl-citation.json"}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(Frank, 2013)</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466B3BC6" w14:textId="77777777" w:rsidR="00DC4F4B" w:rsidRPr="0027221D" w:rsidRDefault="00DC4F4B"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 xml:space="preserve">Video describing the impact of social determinants on the health of a population. One speaker makes the claim that social determinants play a larger role in overall health than the healthcare </w:t>
      </w:r>
      <w:proofErr w:type="gramStart"/>
      <w:r w:rsidRPr="0027221D">
        <w:rPr>
          <w:rFonts w:ascii="Times New Roman" w:hAnsi="Times New Roman" w:cs="Times New Roman"/>
          <w:sz w:val="24"/>
          <w:szCs w:val="24"/>
        </w:rPr>
        <w:t>system as a whole</w:t>
      </w:r>
      <w:proofErr w:type="gramEnd"/>
      <w:r w:rsidRPr="0027221D">
        <w:rPr>
          <w:rFonts w:ascii="Times New Roman" w:hAnsi="Times New Roman" w:cs="Times New Roman"/>
          <w:sz w:val="24"/>
          <w:szCs w:val="24"/>
        </w:rPr>
        <w:t>. This video emphasizes the impact of social determinants in the context of overall population health as well as financial burden to the healthcare system</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URL":"https://www.youtube.com/watch?v=nTqknri15fQ","accessed":{"date-parts":[["2019","7","24"]]},"author":[{"dropping-particle":"","family":"Frankish","given":"James","non-dropping-particle":"","parse-names":false,"suffix":""},{"dropping-particle":"","family":"Kershaw","given":"Paul","non-dropping-particle":"","parse-names":false,"suffix":""},{"dropping-particle":"","family":"Shoveller","given":"Jean","non-dropping-particle":"","parse-names":false,"suffix":""},{"dropping-particle":"","family":"Evans","given":"Robert","non-dropping-particle":"","parse-names":false,"suffix":""},{"dropping-particle":"","family":"McLeod","given":"Christopher","non-dropping-particle":"","parse-names":false,"suffix":""}],"container-title":"UBC Medicine - Educational Media","id":"ITEM-1","issued":{"date-parts":[["2017"]]},"note":"Educational video created by researchers from UBC describing the impact of social determinants on the health of a population. One speaker makes the claim that social determinants play a larger role in overall health than the healthcare system as a whole. Speakers lobby for greater attention to prevention through addressing SDoH.","title":"The Social Determinants of Health - YouTube","type":"webpage"},"uris":["http://www.mendeley.com/documents/?uuid=5fded7ad-d61d-3cd4-a2a1-606e2b14b2af"]}],"mendeley":{"formattedCitation":"(Frankish, Kershaw, Shoveller, Evans, &amp; McLeod, 2017)","plainTextFormattedCitation":"(Frankish, Kershaw, Shoveller, Evans, &amp; McLeod, 2017)","previouslyFormattedCitation":"(Frankish, Kershaw, Shoveller, Evans, &amp; McLeod, 2017)"},"properties":{"noteIndex":0},"schema":"https://github.com/citation-style-language/schema/raw/master/csl-citation.json"}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(Frankish, Kershaw, Shoveller, Evans, &amp; McLeod, 2017)</w:t>
      </w:r>
      <w:r w:rsidRPr="0027221D">
        <w:rPr>
          <w:rFonts w:ascii="Times New Roman" w:hAnsi="Times New Roman" w:cs="Times New Roman"/>
          <w:sz w:val="24"/>
          <w:szCs w:val="24"/>
        </w:rPr>
        <w:fldChar w:fldCharType="end"/>
      </w:r>
    </w:p>
    <w:p w14:paraId="1AE0FEF6" w14:textId="77777777" w:rsidR="00DC4F4B" w:rsidRPr="0027221D" w:rsidRDefault="00DC4F4B"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 xml:space="preserve">This article is a discussion piece outlining the World Health Organization's 1948 definition of health and offers insight into why the definition is no longer suitable as well as offering an </w:t>
      </w:r>
      <w:r w:rsidRPr="0027221D">
        <w:rPr>
          <w:rFonts w:ascii="Times New Roman" w:hAnsi="Times New Roman" w:cs="Times New Roman"/>
          <w:sz w:val="24"/>
          <w:szCs w:val="24"/>
        </w:rPr>
        <w:lastRenderedPageBreak/>
        <w:t>alternative definition. It calls for further discussion for the purpose of deciding on a modern definition that accounts for chronic disease management and individual coping skills</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{"citationItems":[{"id":"ITEM-1","itemData":{"author":[{"dropping-particle":"","family":"Huber","given":"Machteld","non-dropping-particle":"","parse-names":false,"suffix":""}],"container-title":"Medical Journal","id":"ITEM-1","issue":"7817","issued":{"date-parts":[["2011"]]},"note":"This article is a discussion piece outlining the World Health Organization's 1948 definition of health and offers insight into why the definition is no longer suitable as well as offering an alternative definition. It calls for further discussion for the purpose of deciding on a modern definition that accounts for chronic disease management and individual coping skills.","number-of-pages":"235-237","title":"HEALTH: HOW SHOULD WE DEFINE IT?","type":"report","volume":"343"},"uris":["http://www.mendeley.com/documents/?uuid=677f5707-7ca8-3f79-b29a-afee149f0d78"]}],"mendeley":{"formattedCitation":"(Huber, 2011)","plainTextFormattedCitation":"(Huber, 2011)","previouslyFormattedCitation":"(Huber, 2011)"},"properties":{"noteIndex":0},"schema":"https://github.com/citation-style-language/schema/raw/master/csl-citation.json"}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(Huber, 2011)</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44A1E9A6" w14:textId="77777777" w:rsidR="00DC4F4B" w:rsidRPr="0027221D" w:rsidRDefault="00DC4F4B"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Scholarly article that qualitatively explores the impact of a definition of health that characterizes it as an ability to adapt. Suggests that this would direct the majority of individuals toward a higher focus on prevention through behavioural modifications, but may promote inequities by further alienating disadvantaged populations</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DOI":"10.1093/eurpub/ckv206","ISSN":"1101-1262","author":[{"dropping-particle":"","family":"Jambroes","given":"Marielle","non-dropping-particle":"","parse-names":false,"suffix":""},{"dropping-particle":"","family":"Nederland","given":"Trudi","non-dropping-particle":"","parse-names":false,"suffix":""},{"dropping-particle":"","family":"Kaljouw","given":"Marian","non-dropping-particle":"","parse-names":false,"suffix":""},{"dropping-particle":"","family":"Vliet","given":"Katja","non-dropping-particle":"van","parse-names":false,"suffix":""},{"dropping-particle":"","family":"Essink-Bot","given":"Marie-Louise","non-dropping-particle":"","parse-names":false,"suffix":""},{"dropping-particle":"","family":"Ruwaard","given":"Dirk","non-dropping-particle":"","parse-names":false,"suffix":""}],"container-title":"The European Journal of Public Health","id":"ITEM-1","issue":"3","issued":{"date-parts":[["2016","6","1"]]},"note":"Scholarly article that qualitatively explores the impact of a definition of health that characterizes it as an ability to adapt. Suggests that this would direct the majority of individuals toward a higher focus on prevention through behavioural modifications, but may promote inequities by further alienating disadvantaged populations.","page":"412-416","publisher":"Narnia","title":"Implications of health as ‘the ability to adapt and self-manage’ for public health policy: a qualitative study","type":"article-journal","volume":"26"},"uris":["http://www.mendeley.com/documents/?uuid=174f32d6-ecb6-3820-8762-8dd3dd10737a"]}],"mendeley":{"formattedCitation":"(Jambroes et al., 2016)","plainTextFormattedCitation":"(Jambroes et al., 2016)","previouslyFormattedCitation":"(Jambroes et al., 2016)"},"properties":{"noteIndex":0},"schema":"https://github.com/citation-style-language/schema/raw/master/csl-citation.json"}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(Jambroes et al., 2016)</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128D6DAF" w14:textId="77777777" w:rsidR="00DC4F4B" w:rsidRPr="0027221D" w:rsidRDefault="00DC4F4B"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Describes WHO definition of health as too restrictive and therefore not practical. Concludes that no one definition will serve the purpose of maximizing the well-being of the population. Instead, multiple definitions must be used to address the varying aspects of health. Proposes a broad definition that presents health as one's ability to adapt</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{"citationItems":[{"id":"ITEM-1","itemData":{"DOI":"10.1177/0020731418782653","abstract":"The definition of health is not just a theoretical issue, because it has many implications for practice, policy, and health services. The current definition of health, formulated by the WHO, is no longer adequate for dealing with the new challenges in health care systems. Despite many attempts to replace it, no alternative definition has reached a wide level of consensus. Assuming an epistemological perspective, the need for a unique definition has to be rejected in favor of a plural approach in which cannot exist the best definition of health but many different definitions, more or less useful depending on the scope of application. Nevertheless, it should be noted that not all potential definitions of health are fit to pursue clinical scientific goals. Based on recent scientific debate, one can maintain that each definition of health should have at least 9 features to work well within the clinical scientific field. Moving from this perspective, a new definition has been developed for pursuing health, especially in the fields of chronic patients and older people.","author":[{"dropping-particle":"","family":"Leonardi","given":"Fabio","non-dropping-particle":"","parse-names":false,"suffix":""}],"container-title":"International Journal of Health Services","id":"ITEM-1","issue":"4","issued":{"date-parts":[["2018"]]},"note":"Describes WHO definition of health as too restrictive and therefore not practical. Concludes that no one definition will serve the purpose of maximizing the well-being of the population. Instead, multiple definitions must be used to address the varying aspects of health. Proposes a broad definition that presents health as one's ability to adapt.","page":"735-748","title":"The Definition of Health: Towards New Perspectives","type":"article-journal","volume":"48"},"uris":["http://www.mendeley.com/documents/?uuid=053ef248-792e-3cc7-a778-f65856cb439a"]}],"mendeley":{"formattedCitation":"(Leonardi, 2018)","plainTextFormattedCitation":"(Leonardi, 2018)","previouslyFormattedCitation":"(Leonardi, 2018)"},"properties":{"noteIndex":0},"schema":"https://github.com/citation-style-language/schema/raw/master/csl-citation.json"}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(Leonardi, 2018)</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56B58706" w14:textId="77777777" w:rsidR="00DC4F4B" w:rsidRPr="0027221D" w:rsidRDefault="00DC4F4B"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This article attempts to define a mathematical relationship to correlate geographical distribution within a populat</w:t>
      </w:r>
      <w:r w:rsidRPr="0027221D">
        <w:rPr>
          <w:rFonts w:ascii="Times New Roman" w:hAnsi="Times New Roman" w:cs="Times New Roman"/>
          <w:sz w:val="24"/>
          <w:szCs w:val="24"/>
        </w:rPr>
        <w:t>i</w:t>
      </w:r>
      <w:r w:rsidRPr="0027221D">
        <w:rPr>
          <w:rFonts w:ascii="Times New Roman" w:hAnsi="Times New Roman" w:cs="Times New Roman"/>
          <w:sz w:val="24"/>
          <w:szCs w:val="24"/>
        </w:rPr>
        <w:t>on to overall health. It uses proximity to primary health services as the main measurement criteria, while neglecting specialty services such as diagnostic imaging procedures or surgical interventions, which affect overall health as well</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{"citationItems":[{"id":"ITEM-1","itemData":{"DOI":"10.15761/HPC.1000129","abstract":"The enjoyment of the highest attainable standard of health is one of the fundamental rights of every human being without distinction of race, religion, political belief, economic or social condition [1]. Social determinants of health include economic status, educational level, social class, social capital, and geographic conditions. Access to health care is a vital determinant of health and it is one of the fundamental concepts in primary care. The concepts of geographical access to primary care has been described in past research [2]. Satisfactory availability of primary care is related to better health status, lower overall mortality, lower death rates due to diseases of heart and cancer, longer life expectancy, lower neonatal death rate, and lower cases of low birth weight [3]. These are some of examples of geographical determinants of health. Several measures of geographical determinants of health have been proposed. One of the simplest measures is the provider-to-population ratio, also called supply ratio. This measure is intuitive and the easiest to understand, and corresponds to \"availability\" which is a subordinate concept of \"access.\" Travel impedance to the nearest provider is also often used as a measure that is popular in the field of emergency medical care [4]. Distance or travel time are commonly used to measure travel impedance when we are interested in arriving at the nearest health care provider. They correspond to the term \"accessibility,\" which is a subordinate concept of \"access.\" Complex measures such as the enhanced two-step floating catchment area (E2SFCA) method [5] or its variance are also used. In the first step of E2SFCA, the provider-to-population ratio for each provider is calculated. The population at risk is identified according to the impedance between provider and population center. In the second step, the provider-to-population ratio for each provider is summed up within the specific impedance from each population center. Some variations of floating catchment area methods have been proposed with different calculation of impedance. Nakamura et al. showed the regional differences in primary care access using an enhanced two-step floating catchment area method [6]. Some other measures such as gravity model, migration preference index, and Kernel density methods have also been proposed. Each measure has its pros and cons. Detailed evaluation of these measures has not been done. The development of geographic information syst…","author":[{"dropping-particle":"","family":"Nakamura","given":"Takashi","non-dropping-particle":"","parse-names":false,"suffix":""}],"id":"ITEM-1","issue":"1","issued":{"date-parts":[["2018"]]},"note":"This article attempts to define a mathematical relationship to correlate geographical distribution within a population to overall health. It uses proximity to primary health services as the main measurement criteria, while neglecting specialty services such as diagnostic imaging procedures or surgical interventions, which affect overall health as well.","page":"1-1","title":"Mini Review Health and Primary Care Health Prim Car","type":"article-journal","volume":"2"},"uris":["http://www.mendeley.com/documents/?uuid=844aa6c4-5d06-3c2e-9b8b-3aad9f0b27ab"]}],"mendeley":{"formattedCitation":"(Nakamura, 2018)","plainTextFormattedCitation":"(Nakamura, 2018)","previouslyFormattedCitation":"(Nakamura, 2018)"},"properties":{"noteIndex":0},"schema":"https://github.com/citation-style-language/schema/raw/master/csl-citation.json"}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(Nakamura, 2018)</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0D09D0B7" w14:textId="77777777" w:rsidR="00DC4F4B" w:rsidRPr="0027221D" w:rsidRDefault="00DC4F4B"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 xml:space="preserve">This webpage is written by the NB Medical Society </w:t>
      </w:r>
      <w:r w:rsidRPr="0027221D">
        <w:rPr>
          <w:rFonts w:ascii="Times New Roman" w:hAnsi="Times New Roman" w:cs="Times New Roman"/>
          <w:sz w:val="24"/>
          <w:szCs w:val="24"/>
        </w:rPr>
        <w:t>to</w:t>
      </w:r>
      <w:r w:rsidRPr="0027221D">
        <w:rPr>
          <w:rFonts w:ascii="Times New Roman" w:hAnsi="Times New Roman" w:cs="Times New Roman"/>
          <w:sz w:val="24"/>
          <w:szCs w:val="24"/>
        </w:rPr>
        <w:t xml:space="preserve"> promot</w:t>
      </w:r>
      <w:r w:rsidRPr="0027221D">
        <w:rPr>
          <w:rFonts w:ascii="Times New Roman" w:hAnsi="Times New Roman" w:cs="Times New Roman"/>
          <w:sz w:val="24"/>
          <w:szCs w:val="24"/>
        </w:rPr>
        <w:t>e</w:t>
      </w:r>
      <w:r w:rsidRPr="0027221D">
        <w:rPr>
          <w:rFonts w:ascii="Times New Roman" w:hAnsi="Times New Roman" w:cs="Times New Roman"/>
          <w:sz w:val="24"/>
          <w:szCs w:val="24"/>
        </w:rPr>
        <w:t xml:space="preserve"> doctors in the province. It also provides statistics and information regarding the need for and role of family doctors in the province and suggests methods for improvement in this endeavor</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{"citationItems":[{"id":"ITEM-1","itemData":{"URL":"https://www.nbms.nb.ca/patient-information/finding-a-family-doctor/","accessed":{"date-parts":[["2019","6","11"]]},"author":[{"dropping-particle":"","family":"New Brunswick Medical Society","given":"","non-dropping-particle":"","parse-names":false,"suffix":""}],"id":"ITEM-1","issued":{"date-parts":[["2016"]]},"note":"This webpage is written by the NB Medical Society for the purpose of promoting doctors in the province. It also provides statistics and information regarding the need for and role of family doctors in the province and suggests methods for improvement in this endeavor.","title":"Finding a Family Doctor","type":"webpage"},"uris":["http://www.mendeley.com/documents/?uuid=97fb17da-faff-33ed-b8b0-aa9967512668"]}],"mendeley":{"formattedCitation":"(New Brunswick Medical Society, 2016)","plainTextFormattedCitation":"(New Brunswick Medical Society, 2016)","previouslyFormattedCitation":"(New Brunswick Medical Society, 2016)"},"properties":{"noteIndex":0},"schema":"https://github.com/citation-style-language/schema/raw/master/csl-citation.json"}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(New Brunswick Medical Society, 2016)</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4C98C6A9" w14:textId="77777777" w:rsidR="00DC4F4B" w:rsidRPr="0027221D" w:rsidRDefault="00DC4F4B"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Report from the New Brunswick Medical Society highlighting the platform issues they are hoping to see addressed by the provincial government leading up to the 2018 election. Evidence is presented and supported by statistics, but the purpose is clearly biased toward attempting to direct more funding for physicians in the province, albeit for the benefit of the healthcare system and the constituents it supports</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{"citationItems":[{"id":"ITEM-1","itemData":{"author":[{"dropping-particle":"","family":"New Brunswick Medical Society","given":"","non-dropping-particle":"","parse-names":false,"suffix":""}],"id":"ITEM-1","issued":{"date-parts":[["2018"]]},"note":"Report from the New Brunswick Medical Society highlighting the platform issues they are hoping to see addressed by the provincial government leading up to the 2018 election. Evidence is presented and supported by statistics, but the purpose is clearly biased toward attempting to direct more funding for physicians in the province, albeit for the benefit of the healthcare system and the constituents it supports.","number-of-pages":"12","title":"A PLAN FOR HEALTH CARE IN NEW BRUNSWICK: ELECTION 2018","type":"report"},"uris":["http://www.mendeley.com/documents/?uuid=b98c145b-4b5c-37ed-a182-cae8ccef16f7"]}],"mendeley":{"formattedCitation":"(New Brunswick Medical Society, 2018)","plainTextFormattedCitation":"(New Brunswick Medical Society, 2018)","previouslyFormattedCitation":"(New Brunswick Medical Society, 2018)"},"properties":{"noteIndex":0},"schema":"https://github.com/citation-style-language/schema/raw/master/csl-citation.json"}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(New Brunswick Medical Society, 2018)</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1C0A147E" w14:textId="77777777" w:rsidR="00DC4F4B" w:rsidRPr="0027221D" w:rsidRDefault="00DC4F4B"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News article describing a new regulation providing free prescription drugs to all Ontario residents under the age of 25 years. Coming from the office of the Premier, this was slanted toward promoting the progress the Liberal government has made toward making life easier on the disadvantaged, without discussing from where the financial backing for this initiative would come</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{"citationItems":[{"id":"ITEM-1","itemData":{"URL":"https://news.ontario.ca/opo/en/2018/01/free-prescription-medications-for-everyone-under-25.html","accessed":{"date-parts":[["2019","6","10"]]},"author":[{"dropping-particle":"","family":"Office of the Premier","given":"","non-dropping-particle":"","parse-names":false,"suffix":""}],"id":"ITEM-1","issued":{"date-parts":[["2018"]]},"note":"News article describing a new regulation providing free prescription drugs to all Ontario residents under the age of 25 years. Coming from the office of the Premier, this was slanted toward promoting the progress the Liberal government has made toward making life easier on the disadvantaged, without discussing from where the financial backing for this initiative would come.","title":"Newsroom : Free Prescription Medications for Everyone Under 25","type":"webpage"},"uris":["http://www.mendeley.com/documents/?uuid=c4a3dec7-e643-326e-8684-dc7269497cc3"]}],"mendeley":{"formattedCitation":"(Office of the Premier, 2018)","plainTextFormattedCitation":"(Office of the Premier, 2018)","previouslyFormattedCitation":"(Office of the Premier, 2018)"},"properties":{"noteIndex":0},"schema":"https://github.com/citation-style-language/schema/raw/master/csl-citation.json"}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(Office of the Premier, 2018)</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49C0EA1C" w14:textId="77777777" w:rsidR="00DC4F4B" w:rsidRPr="0027221D" w:rsidRDefault="00DC4F4B"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Editorial piece that examines the social landscape in the province of New Brunswick. Touches on lack of tourism and the hostility between Francophones and Anglophones in the only officially bilingual province in the country. Describes how the general discontent is reflected by the oscillating political landscape where no party has been able to sustain two consecutive terms in office over much of the past two decades</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URL":"https://www.macleans.ca/economy/can-anything-save-new-brunswick/","accessed":{"date-parts":[["2019","6","8"]]},"author":[{"dropping-particle":"","family":"Patriquin","given":"Martin","non-dropping-particle":"","parse-names":false,"suffix":""}],"id":"ITEM-1","issued":{"date-parts":[["2016"]]},"note":"Editorial piece that examines the social landscape in the province of New Brunswick. Touches on lack of tourism and the hostility between Francophones and Anglophones in the only officially bilingual province in the country. Describes how the general discontent is reflected by the oscillating political landscape where no party has been able to sustain two consecutive terms in office over much of the past two decades.","title":"Can anything save New Brunswick? -MacLeans","type":"webpage"},"uris":["http://www.mendeley.com/documents/?uuid=ac23c4d2-af50-362d-87be-49c5d91aae31"]}],"mendeley":{"formattedCitation":"(Patriquin, 2016)","plainTextFormattedCitation":"(Patriquin, 2016)","previouslyFormattedCitation":"(Patriquin, 2016)"},"properties":{"noteIndex":0},"schema":"https://github.com/citation-style-language/schema/raw/master/csl-citation.json"}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(Patriquin, 2016)</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08E200D4" w14:textId="77777777" w:rsidR="00DC4F4B" w:rsidRPr="0027221D" w:rsidRDefault="00DC4F4B"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 xml:space="preserve">Outlines a program designed to give primary care physicians tools to assist in identifying patients in need of social programs to complement their health. This program would allow for improved </w:t>
      </w:r>
      <w:r w:rsidRPr="0027221D">
        <w:rPr>
          <w:rFonts w:ascii="Times New Roman" w:hAnsi="Times New Roman" w:cs="Times New Roman"/>
          <w:sz w:val="24"/>
          <w:szCs w:val="24"/>
        </w:rPr>
        <w:lastRenderedPageBreak/>
        <w:t>population health with less cost to healthcare system while improving perception of care for individuals. This is a pilot project with an eye on expanding nationwide</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{"citationItems":[{"id":"ITEM-1","itemData":{"ISSN":"1715-5258","PMID":"29138172","abstract":"PROBLEM ADDRESSED Family physicians have long understood that social factors influence the health of individuals and communities; however, most primary care organizations have yet to develop the capacity to specifically address these social determinants of health (SDOH). OBJECTIVE OF PROGRAM To support SDOH interventions and foster an organizational culture in which addressing SDOH is considered part of high-quality primary care. PROGRAM DESCRIPTION An academic family health team in Toronto, Ont, established a committee comprising a diverse group of health professionals focused on the SDOH. The committee analyzes how social factors affect patients and supports the development and implementation of interventions. The committee's current interventions include the following: collecting and analyzing detailed sociodemographic data to identify health inequities; launching an income security health promotion service; establishing a medical-legal partnership; implementing a child literacy program in its clinics; and developing an advocacy and service program to improve access to decent work. Each intervention includes a rigorous evaluation plan to assess implementation and effect. Next steps include developing tools to enable organizations to \"move upstream\" and adopt a health equity approach to all work, including joining in advocacy. CONCLUSION Primary care providers are well situated to address SDOH. This article provides a framework that can assist every large primary care organization in establishing a similar committee dedicated to SDOH, which could help build a network across Canada to share lessons learned and support joint advocacy.","author":[{"dropping-particle":"","family":"Pinto","given":"Andrew D","non-dropping-particle":"","parse-names":false,"suffix":""},{"dropping-particle":"","family":"Bloch","given":"Gary","non-dropping-particle":"","parse-names":false,"suffix":""}],"container-title":"Canadian family physician Medecin de famille canadien","id":"ITEM-1","issue":"11","issued":{"date-parts":[["2017","11"]]},"note":"Outlines a program designed to give primary care physicians tools to assist in identifying patients in need of social programs to complement their health. This program would allow for improved population health with less cost to healthcare system while improving perception of care for individuals. This is a pilot project with an eye on expanding nationwide.","page":"e476-e482","publisher":"College of Family Physicians of Canada","title":"Framework for building primary care capacity to address the social determinants of health.","type":"article-journal","volume":"63"},"uris":["http://www.mendeley.com/documents/?uuid=bf85c684-6d63-3b72-9613-d6148897a34b"]}],"mendeley":{"formattedCitation":"(Pinto &amp; Bloch, 2017)","plainTextFormattedCitation":"(Pinto &amp; Bloch, 2017)","previouslyFormattedCitation":"(Pinto &amp; Bloch, 2017)"},"properties":{"noteIndex":0},"schema":"https://github.com/citation-style-language/schema/raw/master/csl-citation.json"}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(Pinto &amp; Bloch, 2017)</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61467185" w14:textId="77777777" w:rsidR="00DC4F4B" w:rsidRPr="0027221D" w:rsidRDefault="00DC4F4B"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This provincial report was designed to be an informative roadmap toward overall prevention and maintenance of health. It includes health tips and the strategic plan to guide provincial initiatives. While arranged as a provincial document, it is also written as an insightful educational resource</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{"citationItems":[{"id":"ITEM-1","itemData":{"ISBN":"9781460505915","abstract":"ISBN 978-1-4605-0591-5 (English print edition) ISBN 978-1-4605-0593-9 (English PDF edition) ISBN 978-1-4605-0592-2 (French print edition) ISBN 978-1-4605-0594-6 (French PDF edition) Printed in New Brunswick","author":[{"dropping-particle":"","family":"Province of New Brunswick","given":"","non-dropping-particle":"","parse-names":false,"suffix":""}],"id":"ITEM-1","issued":{"date-parts":[["2014"]]},"note":"This provincial report was designed to be an informative roadmap toward overall prevention and maintenance of health. It includes health tips and the strategic plan to guide provincial initiatives. While arranged as a provincial document, it is also written as an insightful educational resource.","number-of-pages":"32","publisher-place":"Fredericton, NB","title":"New Brunswick's Wellness Strategy 2014-2021 The heart of our future","type":"report"},"uris":["http://www.mendeley.com/documents/?uuid=341eb1f4-18e6-363b-81bc-aaa8ae3dd9f0"]}],"mendeley":{"formattedCitation":"(Province of New Brunswick, 2014)","plainTextFormattedCitation":"(Province of New Brunswick, 2014)","previouslyFormattedCitation":"(Province of New Brunswick, 2014)"},"properties":{"noteIndex":0},"schema":"https://github.com/citation-style-language/schema/raw/master/csl-citation.json"}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(Province of New Brunswick, 2014)</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667DF778" w14:textId="77777777" w:rsidR="00DC4F4B" w:rsidRPr="0027221D" w:rsidRDefault="00DC4F4B"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News article regarding locals taking exception to the prospect of an indigenous healing lodge being constructed in their neighbourhood. Neighbours claim their concerns stem from fear of having criminals in their proximity, period. It is not clear if this is the truth or if some hesitation is due to racism against the indigenous people who would be housed at the facility</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URL":"https://www.cbc.ca/news/canada/toronto/locals-object-to-indigenous-healing-lodge-in-scarborough-neighbourhood-1.5171332?cmp=newsletter-news-digests-toronto","accessed":{"date-parts":[["2019","6","13"]]},"author":[{"dropping-particle":"","family":"Smee","given":"Michael","non-dropping-particle":"","parse-names":false,"suffix":""}],"container-title":"CBC News","id":"ITEM-1","issued":{"date-parts":[["2019"]]},"note":"News article regarding locals taking exception to the prospect of an indigenous healing lodge being constructed in their neighbourhood. Neighbours claim their concerns stem from fear of having criminals in their proximity, period. It is not clear if this is the truth or if some hesitation is due to racism against the indigenous people who would be housed at the facility.","title":"Locals object to Indigenous healing lodge in Scarborough neighbourhood | CBC News","type":"webpage"},"uris":["http://www.mendeley.com/documents/?uuid=1c2f559e-ff5a-37ee-a7b6-3046b9aa06ec"]}],"mendeley":{"formattedCitation":"(Smee, 2019)","plainTextFormattedCitation":"(Smee, 2019)","previouslyFormattedCitation":"(Smee, 2019)"},"properties":{"noteIndex":0},"schema":"https://github.com/citation-style-language/schema/raw/master/csl-citation.json"}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(Smee, 2019)</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098BB5FA" w14:textId="77777777" w:rsidR="00DC4F4B" w:rsidRPr="0027221D" w:rsidRDefault="00DC4F4B"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Article defines the state of health and disease as a continuum that is fluid and constantly being challenged by biological, social and environmental factors. Claims that health status is unique to the individual and that similar circumstances are managed differently by everyone. Recognizing this will allow each patient to get closer to achieving an outcome that he or she equates to health</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{"citationItems":[{"id":"ITEM-1","itemData":{"author":[{"dropping-particle":"","family":"Sturmberg","given":"Joachim P","non-dropping-particle":"","parse-names":false,"suffix":""}],"container-title":"Source: Journal of Public Health Policy","id":"ITEM-1","issue":"3","issued":{"date-parts":[["2014"]]},"note":"Article defines the state of health and disease as a continuum that is fluid and constantly being challenged by biological, social and environmental factors. Claims that health status is unique to the individual and that similar circumstances are managed differently by everyone. Recognizing this will allow each patient to get closer to achieving an outcome that he or she equates to health.","number-of-pages":"414-419","title":"Emergent properties define the subjective nature of health and dis-ease","type":"report","volume":"35"},"uris":["http://www.mendeley.com/documents/?uuid=79ca8776-3e5a-3439-a6b9-1fe62aaea58c"]}],"mendeley":{"formattedCitation":"(Sturmberg, 2014)","plainTextFormattedCitation":"(Sturmberg, 2014)","previouslyFormattedCitation":"(Sturmberg, 2014)"},"properties":{"noteIndex":0},"schema":"https://github.com/citation-style-language/schema/raw/master/csl-citation.json"}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(Sturmberg, 2014)</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4FD0E334" w14:textId="77777777" w:rsidR="00DC4F4B" w:rsidRPr="0027221D" w:rsidRDefault="00DC4F4B"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Visual aid to outline the vast scope of factors affecting the health of an individual or population. This is meant to be a public reference to highlight the multi-dimensional aspect of well being in an effort to reduce biases and stigma, and by doing so improve the outlook of overall population health and improve tolerance</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{"citationItems":[{"id":"ITEM-1","itemData":{"URL":"http://www.wellnessnb.ca/wp-content/uploads/2014/09/Wellness-rethink-wellness-infographic.pdf","accessed":{"date-parts":[["2019","6","9"]]},"author":[{"dropping-particle":"","family":"The Wellness Movement","given":"","non-dropping-particle":"","parse-names":false,"suffix":""}],"id":"ITEM-1","issued":{"date-parts":[["0"]]},"note":"Visual aid to outline the vast scope of factors affecting the health of an individual or population. This is meant to be a public reference to highlight the multi-dimensional aspect of well being in an effort to reduce biases and stigma, and by doing so improve the outlook of overall population health and improve tolerance.","title":"Wellness Info-Graphic","type":"webpage"},"uris":["http://www.mendeley.com/documents/?uuid=a10ebd6e-59fe-3d3e-a9f6-c297f6b3b581"]}],"mendeley":{"formattedCitation":"(The Wellness Movement, n.d.)","plainTextFormattedCitation":"(The Wellness Movement, n.d.)","previouslyFormattedCitation":"(The Wellness Movement, n.d.)"},"properties":{"noteIndex":0},"schema":"https://github.com/citation-style-language/schema/raw/master/csl-citation.json"}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(The Wellness Movement, n.d.)</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1BA92240" w14:textId="77777777" w:rsidR="00DC4F4B" w:rsidRPr="0027221D" w:rsidRDefault="00DC4F4B"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This opinion piece comes from the perspective of a retired physician and explores the contention that doctors (and people in general) are ill equipped to achieve something that they cannot accurately define -speaking of the term 'health'. He projects a genuine interest in the establishment of a suitable definition and contends that this would improve the execution and efficiency of public policy, public health and -by extension- overall population health</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{"citationItems":[{"id":"ITEM-1","itemData":{"ISSN":"0960-1643","PMID":"15826449","author":[{"dropping-particle":"","family":"Tulloch","given":"Alistair","non-dropping-particle":"","parse-names":false,"suffix":""}],"container-title":"The British journal of general practice : the journal of the Royal College of General Practitioners","id":"ITEM-1","issue":"513","issued":{"date-parts":[["2005","4"]]},"note":"This opinion piece comes from the perspective of a retired physician and explores the contention that doctors (and people in general) are ill equipped to achieve something that they cannot accurately define -speaking of the term 'health'. He projects a genuine interest in the establishment of a suitable definition and contends that this would improve the execution and efficiency of public policy, public health and -by extension- overall population health.","page":"320-3; discussion 321-2","publisher":"Royal College of General Practitioners","title":"What do we mean by health?","type":"article-journal","volume":"55"},"uris":["http://www.mendeley.com/documents/?uuid=c3503641-c2be-390c-9f3a-9dc2d18741d1"]}],"mendeley":{"formattedCitation":"(Tulloch, 2005)","plainTextFormattedCitation":"(Tulloch, 2005)","previouslyFormattedCitation":"(Tulloch, 2005)"},"properties":{"noteIndex":0},"schema":"https://github.com/citation-style-language/schema/raw/master/csl-citation.json"}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(Tulloch, 2005)</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4293BB5B" w14:textId="77777777" w:rsidR="00DC4F4B" w:rsidRPr="0027221D" w:rsidRDefault="00DC4F4B"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Discusses the merit of 'systems medicine' as a measurable and non-</w:t>
      </w:r>
      <w:r w:rsidR="0027221D" w:rsidRPr="0027221D">
        <w:rPr>
          <w:rFonts w:ascii="Times New Roman" w:hAnsi="Times New Roman" w:cs="Times New Roman"/>
          <w:sz w:val="24"/>
          <w:szCs w:val="24"/>
        </w:rPr>
        <w:t>corruptible</w:t>
      </w:r>
      <w:r w:rsidRPr="0027221D">
        <w:rPr>
          <w:rFonts w:ascii="Times New Roman" w:hAnsi="Times New Roman" w:cs="Times New Roman"/>
          <w:sz w:val="24"/>
          <w:szCs w:val="24"/>
        </w:rPr>
        <w:t xml:space="preserve"> standard in the provision of health. Not only does this perspective take emphasis away from social determinants of health, but the argument of the authors is that it also requires the defining of an arbitrary distinction between health and illness, which is subjective and thus open to outside influences, defeating the ultimate objective of this branch of research</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0027221D" w:rsidRPr="0027221D">
        <w:rPr>
          <w:rFonts w:ascii="Times New Roman" w:hAnsi="Times New Roman" w:cs="Times New Roman"/>
          <w:sz w:val="24"/>
          <w:szCs w:val="24"/>
        </w:rPr>
        <w:instrText>ADDIN CSL_CITATION {"citationItems":[{"id":"ITEM-1","itemData":{"DOI":"10.1007/s11017-016-9379-3","abstract":"Systems medicine, which is based on computational modelling of biological systems, is emerging as an increasingly prominent part of the personalized medicine movement. It is often promoted as 'P4 medicine' (predictive, preventive, personalized, and participatory). In this article, we test promises made by some of its proponents that systems medicine will be able to develop a scientific, quantitative metric for wellness that will eliminate the purported vagueness, ambiguity, and incompleteness-that is, normativity-of previous health definitions. We do so by examining the most concrete and relevant evidence for such a metric available: a patent that describes a systems medicine method for assessing health and disease. We find that although systems medicine is promoted as heralding an era of trans-formative scientific objectivity, its definition of health seems at present still nor-matively based. As such, we argue that it will be open to influence from various stakeholders and that its purported objectivity may conceal important scientific, philosophical, and political issues. We also argue that this is an example of a general trend within biomedicine to create overly hopeful visions and expectations for the future.","author":[{"dropping-particle":"","family":"Vogt","given":"Henrik","non-dropping-particle":"","parse-names":false,"suffix":""},{"dropping-particle":"","family":"Hofmann","given":"Bjørn","non-dropping-particle":"","parse-names":false,"suffix":""},{"dropping-particle":"","family":"Getz","given":"Linn","non-dropping-particle":"","parse-names":false,"suffix":""}],"container-title":"Theoretical Medicine and Bioethics","id":"ITEM-1","issued":{"date-parts":[["2016"]]},"note":"Discusses the merit of 'systems medicine' as a measurable and non-corruptable standard in the provision of health. Not only does this perspective take emphasis away from social determinants of health, but the argument of the authors is that it also requires the defining of an arbitrary distinction between health and illness, which is subjective and thus open to outside influences, defeating the ultimate objective of this branch of research.","page":"401-416","title":"Personalized medicine: evidence of normativity in its quantitative definition of health","type":"article-journal","volume":"37"},"uris":["http://www.mendeley.com/documents/?uuid=21a75723-786a-3a52-a785-0ae1786911d3"]}],"mendeley":{"formattedCitation":"(Vogt, Hofmann, &amp; Getz, 2016)","plainTextFormattedCitation":"(Vogt, Hofmann, &amp; Getz, 2016)","previouslyFormattedCitation":"(Vogt, Hofmann, &amp; Getz, 2016)"},"properties":{"noteIndex":0},"schema":"https://github.com/citation-style-language/schema/raw/master/csl-citation.json"}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(Vogt, Hofmann, &amp; Getz, 2016)</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38875E30" w14:textId="77777777" w:rsidR="0027221D" w:rsidRPr="0027221D" w:rsidRDefault="0027221D"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t>Provincial report from the government of New Brunswick that outlines sources of inequities in health care and lists statistics associated with provincial inequities. Purpose is to identify methods of improving the social distribution of health across all levels of education, geographical regions and financial situations so that all New Brunswickers have an equal opportunity to reach their best state of health</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{"citationItems":[{"id":"ITEM-1","itemData":{"ISBN":"978-1-4605-0982-1","abstract":"About the cover: The illustration on the front cover depicts two individuals with differing opportunities for health. The person on the stairs with a briefcase signifies a healthier person with good resources (education, adequate income, etc) who has easy access to ways of achieving optimal health, whereas the person facing the wall experiences poorer health, in part because of limited access to any ways of achieving optimal health. Ce document est aussi disponible en français sur le site Web du Bureau du médecin-hygiéniste en chef du Nouveau-Brunswick (www.gnb.ca/santepublique) sous le titre « Les iniquités en matière de santé au Nouveau-Brunswick ».","author":[{"dropping-particle":"","family":"Wang","given":"Hao","non-dropping-particle":"","parse-names":false,"suffix":""},{"dropping-particle":"","family":"Emrich","given":"Teri","non-dropping-particle":"","parse-names":false,"suffix":""},{"dropping-particle":"","family":"Collette","given":"Maurice","non-dropping-particle":"","parse-names":false,"suffix":""}],"id":"ITEM-1","issued":{"date-parts":[["2016"]]},"note":"Provincial report from the government of New Brunswick that outlines sources of inequities in health care and lists statistics associated with provincial inequities. Purpose is to identify methods of improving the social distribution of health across all levels of education, geographical regions and financial situations so that all New Brunswickers have an equal opportunity to reach their best state of health.","title":"A Report from the Office of the Chief Medical Officer of Health Health Inequities in New Brunswick","type":"report"},"uris":["http://www.mendeley.com/documents/?uuid=94dde07c-51d3-3b18-b398-a3a631c4a61f"]}],"mendeley":{"formattedCitation":"(Wang, Emrich, &amp; Collette, 2016)","plainTextFormattedCitation":"(Wang, Emrich, &amp; Collette, 2016)","previouslyFormattedCitation":"(Wang, Emrich, &amp; Collette, 2016)"},"properties":{"noteIndex":0},"schema":"https://github.com/citation-style-language/schema/raw/master/csl-citation.json"}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(Wang, Emrich, &amp; Collette, 2016)</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3C351FE5" w14:textId="77777777" w:rsidR="0027221D" w:rsidRPr="0027221D" w:rsidRDefault="0027221D"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lastRenderedPageBreak/>
        <w:t xml:space="preserve">This </w:t>
      </w:r>
      <w:r w:rsidRPr="0027221D">
        <w:rPr>
          <w:rFonts w:ascii="Times New Roman" w:hAnsi="Times New Roman" w:cs="Times New Roman"/>
          <w:sz w:val="24"/>
          <w:szCs w:val="24"/>
        </w:rPr>
        <w:t>Wikipedia</w:t>
      </w:r>
      <w:r w:rsidRPr="0027221D">
        <w:rPr>
          <w:rFonts w:ascii="Times New Roman" w:hAnsi="Times New Roman" w:cs="Times New Roman"/>
          <w:sz w:val="24"/>
          <w:szCs w:val="24"/>
        </w:rPr>
        <w:t xml:space="preserve"> article lists the Premiers for the province of New Brunswick. The list emphasizes the recent turnover at the position, which has stalled advancements in many aspects of the government, not the least of which being healthcare initiatives</w:t>
      </w:r>
      <w:r w:rsidRPr="0027221D">
        <w:rPr>
          <w:rFonts w:ascii="Times New Roman" w:hAnsi="Times New Roman" w:cs="Times New Roman"/>
          <w:sz w:val="24"/>
          <w:szCs w:val="24"/>
        </w:rPr>
        <w:t xml:space="preserve"> </w:t>
      </w: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ADDIN CSL_CITATION {"citationItems":[{"id":"ITEM-1","itemData":{"URL":"https://en.wikipedia.org/wiki/List_of_premiers_of_New_Brunswick","accessed":{"date-parts":[["2019","6","9"]]},"author":[{"dropping-particle":"","family":"Wikipedia Contributers","given":"","non-dropping-particle":"","parse-names":false,"suffix":""}],"container-title":"Wikipedia page","id":"ITEM-1","issued":{"date-parts":[["0"]]},"note":"This wikipedia article lists the Premiers for the province of New Brunswick. The list emphasizes the recent turnover at the position, which has stalled advancements in many aspects of the government, not the least of which being healthcare initiatives.","publisher":"The Legislative Library of New Brunswick","title":"Premiers of New Brunswick","type":"webpage"},"uris":["http://www.mendeley.com/documents/?uuid=cc3e8e0a-3d72-3936-bc80-a71368fdd666"]}],"mendeley":{"formattedCitation":"(Wikipedia Contributers, n.d.)","plainTextFormattedCitation":"(Wikipedia Contributers, n.d.)","previouslyFormattedCitation":"(Wikipedia Contributers, n.d.)"},"properties":{"noteIndex":0},"schema":"https://github.com/citation-style-language/schema/raw/master/csl-citation.json"}</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(Wikipedia Contributers, n.d.)</w:t>
      </w:r>
      <w:r w:rsidRPr="0027221D">
        <w:rPr>
          <w:rFonts w:ascii="Times New Roman" w:hAnsi="Times New Roman" w:cs="Times New Roman"/>
          <w:sz w:val="24"/>
          <w:szCs w:val="24"/>
        </w:rPr>
        <w:fldChar w:fldCharType="end"/>
      </w:r>
      <w:r w:rsidRPr="0027221D">
        <w:rPr>
          <w:rFonts w:ascii="Times New Roman" w:hAnsi="Times New Roman" w:cs="Times New Roman"/>
          <w:sz w:val="24"/>
          <w:szCs w:val="24"/>
        </w:rPr>
        <w:t>.</w:t>
      </w:r>
    </w:p>
    <w:p w14:paraId="5D156078" w14:textId="77777777" w:rsidR="0027221D" w:rsidRPr="0027221D" w:rsidRDefault="0027221D" w:rsidP="00781F27">
      <w:pPr>
        <w:spacing w:before="240" w:after="240"/>
        <w:rPr>
          <w:rFonts w:ascii="Times New Roman" w:hAnsi="Times New Roman" w:cs="Times New Roman"/>
          <w:sz w:val="24"/>
          <w:szCs w:val="24"/>
        </w:rPr>
      </w:pPr>
    </w:p>
    <w:p w14:paraId="1822B1FD" w14:textId="77777777" w:rsidR="0027221D" w:rsidRPr="0027221D" w:rsidRDefault="0027221D" w:rsidP="00781F27">
      <w:pPr>
        <w:spacing w:before="240" w:after="240"/>
        <w:rPr>
          <w:rFonts w:ascii="Times New Roman" w:hAnsi="Times New Roman" w:cs="Times New Roman"/>
          <w:sz w:val="24"/>
          <w:szCs w:val="24"/>
        </w:rPr>
      </w:pPr>
      <w:r w:rsidRPr="0027221D">
        <w:rPr>
          <w:rFonts w:ascii="Times New Roman" w:hAnsi="Times New Roman" w:cs="Times New Roman"/>
          <w:b/>
          <w:sz w:val="24"/>
          <w:szCs w:val="24"/>
        </w:rPr>
        <w:t>Bibliography</w:t>
      </w:r>
    </w:p>
    <w:p w14:paraId="0612FAF3"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sz w:val="24"/>
          <w:szCs w:val="24"/>
        </w:rPr>
        <w:fldChar w:fldCharType="begin" w:fldLock="1"/>
      </w:r>
      <w:r w:rsidRPr="0027221D">
        <w:rPr>
          <w:rFonts w:ascii="Times New Roman" w:hAnsi="Times New Roman" w:cs="Times New Roman"/>
          <w:sz w:val="24"/>
          <w:szCs w:val="24"/>
        </w:rPr>
        <w:instrText xml:space="preserve">ADDIN Mendeley Bibliography CSL_BIBLIOGRAPHY </w:instrText>
      </w:r>
      <w:r w:rsidRPr="0027221D">
        <w:rPr>
          <w:rFonts w:ascii="Times New Roman" w:hAnsi="Times New Roman" w:cs="Times New Roman"/>
          <w:sz w:val="24"/>
          <w:szCs w:val="24"/>
        </w:rPr>
        <w:fldChar w:fldCharType="separate"/>
      </w:r>
      <w:r w:rsidRPr="0027221D">
        <w:rPr>
          <w:rFonts w:ascii="Times New Roman" w:hAnsi="Times New Roman" w:cs="Times New Roman"/>
          <w:noProof/>
          <w:sz w:val="24"/>
          <w:szCs w:val="24"/>
        </w:rPr>
        <w:t xml:space="preserve">Bradley, K. L., Goetz, T., &amp; Viswanathan, S. (2018). Toward a Contemporary Definition of Health. </w:t>
      </w:r>
      <w:r w:rsidRPr="0027221D">
        <w:rPr>
          <w:rFonts w:ascii="Times New Roman" w:hAnsi="Times New Roman" w:cs="Times New Roman"/>
          <w:i/>
          <w:iCs/>
          <w:noProof/>
          <w:sz w:val="24"/>
          <w:szCs w:val="24"/>
        </w:rPr>
        <w:t>MILITARY MEDICINE</w:t>
      </w:r>
      <w:r w:rsidRPr="0027221D">
        <w:rPr>
          <w:rFonts w:ascii="Times New Roman" w:hAnsi="Times New Roman" w:cs="Times New Roman"/>
          <w:noProof/>
          <w:sz w:val="24"/>
          <w:szCs w:val="24"/>
        </w:rPr>
        <w:t xml:space="preserve">, </w:t>
      </w:r>
      <w:r w:rsidRPr="0027221D">
        <w:rPr>
          <w:rFonts w:ascii="Times New Roman" w:hAnsi="Times New Roman" w:cs="Times New Roman"/>
          <w:i/>
          <w:iCs/>
          <w:noProof/>
          <w:sz w:val="24"/>
          <w:szCs w:val="24"/>
        </w:rPr>
        <w:t>183</w:t>
      </w:r>
      <w:r w:rsidRPr="0027221D">
        <w:rPr>
          <w:rFonts w:ascii="Times New Roman" w:hAnsi="Times New Roman" w:cs="Times New Roman"/>
          <w:noProof/>
          <w:sz w:val="24"/>
          <w:szCs w:val="24"/>
        </w:rPr>
        <w:t>, 204–207. https://doi.org/10.1093/milmed/usy213</w:t>
      </w:r>
    </w:p>
    <w:p w14:paraId="2131ED0F"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t xml:space="preserve">Brook, R. H. (2017). Should the Definition of Health Include a Measure of Tolerance? </w:t>
      </w:r>
      <w:r w:rsidRPr="0027221D">
        <w:rPr>
          <w:rFonts w:ascii="Times New Roman" w:hAnsi="Times New Roman" w:cs="Times New Roman"/>
          <w:i/>
          <w:iCs/>
          <w:noProof/>
          <w:sz w:val="24"/>
          <w:szCs w:val="24"/>
        </w:rPr>
        <w:t>JAMA</w:t>
      </w:r>
      <w:r w:rsidRPr="0027221D">
        <w:rPr>
          <w:rFonts w:ascii="Times New Roman" w:hAnsi="Times New Roman" w:cs="Times New Roman"/>
          <w:noProof/>
          <w:sz w:val="24"/>
          <w:szCs w:val="24"/>
        </w:rPr>
        <w:t xml:space="preserve">, </w:t>
      </w:r>
      <w:r w:rsidRPr="0027221D">
        <w:rPr>
          <w:rFonts w:ascii="Times New Roman" w:hAnsi="Times New Roman" w:cs="Times New Roman"/>
          <w:i/>
          <w:iCs/>
          <w:noProof/>
          <w:sz w:val="24"/>
          <w:szCs w:val="24"/>
        </w:rPr>
        <w:t>317</w:t>
      </w:r>
      <w:r w:rsidRPr="0027221D">
        <w:rPr>
          <w:rFonts w:ascii="Times New Roman" w:hAnsi="Times New Roman" w:cs="Times New Roman"/>
          <w:noProof/>
          <w:sz w:val="24"/>
          <w:szCs w:val="24"/>
        </w:rPr>
        <w:t>(6), 585. https://doi.org/10.1001/jama.2016.14372</w:t>
      </w:r>
    </w:p>
    <w:p w14:paraId="13601572"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t>Canadian Institute for Health Information. (n.d.). An In-Depth Look at the New Brunswick Health Care System | CIHI. Retrieved June 9, 2019, from https://www.cihi.ca/en/an-in-depth-look-at-the-new-brunswick-health-care-system</w:t>
      </w:r>
    </w:p>
    <w:p w14:paraId="68236458"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t xml:space="preserve">Caplan, A. (2015). How Can Aging Be Thought of as Anything Other Than a Disease? In </w:t>
      </w:r>
      <w:r w:rsidRPr="0027221D">
        <w:rPr>
          <w:rFonts w:ascii="Times New Roman" w:hAnsi="Times New Roman" w:cs="Times New Roman"/>
          <w:i/>
          <w:iCs/>
          <w:noProof/>
          <w:sz w:val="24"/>
          <w:szCs w:val="24"/>
        </w:rPr>
        <w:t>Handbook of the Philosophy of Medicine</w:t>
      </w:r>
      <w:r w:rsidRPr="0027221D">
        <w:rPr>
          <w:rFonts w:ascii="Times New Roman" w:hAnsi="Times New Roman" w:cs="Times New Roman"/>
          <w:noProof/>
          <w:sz w:val="24"/>
          <w:szCs w:val="24"/>
        </w:rPr>
        <w:t xml:space="preserve"> (pp. 1–8). https://doi.org/10.1007/978-94-017-8706-2_10-1</w:t>
      </w:r>
    </w:p>
    <w:p w14:paraId="30CD6B12"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t>Coon, D. (2018). Time to Decentralize Health Care Decision-Making - Green Party NB. Retrieved June 9, 2019, from http://www.greenpartynb.ca/time_to_decentralize_health_care_decision_making</w:t>
      </w:r>
    </w:p>
    <w:p w14:paraId="539168FB"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t xml:space="preserve">Frank, L. (2013). To cite this article: Lily Frank (2013) Person-Centered Care, Autonomy, and the Definition of Health. </w:t>
      </w:r>
      <w:r w:rsidRPr="0027221D">
        <w:rPr>
          <w:rFonts w:ascii="Times New Roman" w:hAnsi="Times New Roman" w:cs="Times New Roman"/>
          <w:i/>
          <w:iCs/>
          <w:noProof/>
          <w:sz w:val="24"/>
          <w:szCs w:val="24"/>
        </w:rPr>
        <w:t>The American Journal of Bioethics</w:t>
      </w:r>
      <w:r w:rsidRPr="0027221D">
        <w:rPr>
          <w:rFonts w:ascii="Times New Roman" w:hAnsi="Times New Roman" w:cs="Times New Roman"/>
          <w:noProof/>
          <w:sz w:val="24"/>
          <w:szCs w:val="24"/>
        </w:rPr>
        <w:t xml:space="preserve">, </w:t>
      </w:r>
      <w:r w:rsidRPr="0027221D">
        <w:rPr>
          <w:rFonts w:ascii="Times New Roman" w:hAnsi="Times New Roman" w:cs="Times New Roman"/>
          <w:i/>
          <w:iCs/>
          <w:noProof/>
          <w:sz w:val="24"/>
          <w:szCs w:val="24"/>
        </w:rPr>
        <w:t>13</w:t>
      </w:r>
      <w:r w:rsidRPr="0027221D">
        <w:rPr>
          <w:rFonts w:ascii="Times New Roman" w:hAnsi="Times New Roman" w:cs="Times New Roman"/>
          <w:noProof/>
          <w:sz w:val="24"/>
          <w:szCs w:val="24"/>
        </w:rPr>
        <w:t>(8), 59–61. https://doi.org/10.1080/15265161.2013.802068</w:t>
      </w:r>
    </w:p>
    <w:p w14:paraId="0C753E0D" w14:textId="77777777" w:rsidR="0027221D" w:rsidRPr="0027221D" w:rsidRDefault="0027221D" w:rsidP="0027221D">
      <w:pPr>
        <w:pStyle w:val="ListParagraph"/>
        <w:spacing w:before="240" w:after="240" w:line="240" w:lineRule="auto"/>
        <w:ind w:left="482" w:hanging="482"/>
        <w:rPr>
          <w:rFonts w:ascii="Times New Roman" w:hAnsi="Times New Roman" w:cs="Times New Roman"/>
          <w:color w:val="auto"/>
          <w:sz w:val="24"/>
          <w:szCs w:val="24"/>
        </w:rPr>
      </w:pPr>
      <w:r w:rsidRPr="0027221D">
        <w:rPr>
          <w:rFonts w:ascii="Times New Roman" w:hAnsi="Times New Roman" w:cs="Times New Roman"/>
          <w:color w:val="auto"/>
          <w:sz w:val="24"/>
          <w:szCs w:val="24"/>
        </w:rPr>
        <w:t xml:space="preserve">Frankish, J., Kershaw, P., Shoveller, J., Evans, R. &amp; McLeod, C. [UBC Medicine – Educational Media]. (2017, January 13). </w:t>
      </w:r>
      <w:r w:rsidRPr="0027221D">
        <w:rPr>
          <w:rFonts w:ascii="Times New Roman" w:hAnsi="Times New Roman" w:cs="Times New Roman"/>
          <w:i/>
          <w:color w:val="auto"/>
          <w:sz w:val="24"/>
          <w:szCs w:val="24"/>
        </w:rPr>
        <w:t>The Social Determinants of Health</w:t>
      </w:r>
      <w:r w:rsidRPr="0027221D">
        <w:rPr>
          <w:rFonts w:ascii="Times New Roman" w:hAnsi="Times New Roman" w:cs="Times New Roman"/>
          <w:color w:val="auto"/>
          <w:sz w:val="24"/>
          <w:szCs w:val="24"/>
        </w:rPr>
        <w:t xml:space="preserve"> [Video file]. Retrieved from </w:t>
      </w:r>
      <w:hyperlink r:id="rId7" w:history="1">
        <w:r w:rsidRPr="0027221D">
          <w:rPr>
            <w:rStyle w:val="Hyperlink"/>
            <w:rFonts w:ascii="Times New Roman" w:hAnsi="Times New Roman" w:cs="Times New Roman"/>
            <w:color w:val="auto"/>
            <w:sz w:val="24"/>
            <w:szCs w:val="24"/>
            <w:u w:val="none"/>
          </w:rPr>
          <w:t>https://www.youtube.com/watch?v=nTqknri15fQ</w:t>
        </w:r>
      </w:hyperlink>
    </w:p>
    <w:p w14:paraId="08DA3C89"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t xml:space="preserve">Huber, M. (2011). HEALTH: HOW SHOULD WE DEFINE IT? In </w:t>
      </w:r>
      <w:r w:rsidRPr="0027221D">
        <w:rPr>
          <w:rFonts w:ascii="Times New Roman" w:hAnsi="Times New Roman" w:cs="Times New Roman"/>
          <w:i/>
          <w:iCs/>
          <w:noProof/>
          <w:sz w:val="24"/>
          <w:szCs w:val="24"/>
        </w:rPr>
        <w:t>Medical Journal</w:t>
      </w:r>
      <w:r w:rsidRPr="0027221D">
        <w:rPr>
          <w:rFonts w:ascii="Times New Roman" w:hAnsi="Times New Roman" w:cs="Times New Roman"/>
          <w:noProof/>
          <w:sz w:val="24"/>
          <w:szCs w:val="24"/>
        </w:rPr>
        <w:t xml:space="preserve"> (Vol. 343). Retrieved from https://0-www-jstor-org.aupac.lib.athabascau.ca/stable/pdf/23051314.pdf?refreqid=excelsior%3A1e602715da178276805b81625174d804</w:t>
      </w:r>
    </w:p>
    <w:p w14:paraId="37511602"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t xml:space="preserve">Jambroes, M., Nederland, T., Kaljouw, M., van Vliet, K., Essink-Bot, M.-L., &amp; Ruwaard, D. (2016). Implications of health as ‘the ability to adapt and self-manage’ for public health policy: a qualitative study. </w:t>
      </w:r>
      <w:r w:rsidRPr="0027221D">
        <w:rPr>
          <w:rFonts w:ascii="Times New Roman" w:hAnsi="Times New Roman" w:cs="Times New Roman"/>
          <w:i/>
          <w:iCs/>
          <w:noProof/>
          <w:sz w:val="24"/>
          <w:szCs w:val="24"/>
        </w:rPr>
        <w:t>The European Journal of Public Health</w:t>
      </w:r>
      <w:r w:rsidRPr="0027221D">
        <w:rPr>
          <w:rFonts w:ascii="Times New Roman" w:hAnsi="Times New Roman" w:cs="Times New Roman"/>
          <w:noProof/>
          <w:sz w:val="24"/>
          <w:szCs w:val="24"/>
        </w:rPr>
        <w:t xml:space="preserve">, </w:t>
      </w:r>
      <w:r w:rsidRPr="0027221D">
        <w:rPr>
          <w:rFonts w:ascii="Times New Roman" w:hAnsi="Times New Roman" w:cs="Times New Roman"/>
          <w:i/>
          <w:iCs/>
          <w:noProof/>
          <w:sz w:val="24"/>
          <w:szCs w:val="24"/>
        </w:rPr>
        <w:t>26</w:t>
      </w:r>
      <w:r w:rsidRPr="0027221D">
        <w:rPr>
          <w:rFonts w:ascii="Times New Roman" w:hAnsi="Times New Roman" w:cs="Times New Roman"/>
          <w:noProof/>
          <w:sz w:val="24"/>
          <w:szCs w:val="24"/>
        </w:rPr>
        <w:t>(3), 412–416. https://doi.org/10.1093/eurpub/ckv206</w:t>
      </w:r>
    </w:p>
    <w:p w14:paraId="3CC61415"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t xml:space="preserve">Leonardi, F. (2018). The Definition of Health: Towards New Perspectives. </w:t>
      </w:r>
      <w:r w:rsidRPr="0027221D">
        <w:rPr>
          <w:rFonts w:ascii="Times New Roman" w:hAnsi="Times New Roman" w:cs="Times New Roman"/>
          <w:i/>
          <w:iCs/>
          <w:noProof/>
          <w:sz w:val="24"/>
          <w:szCs w:val="24"/>
        </w:rPr>
        <w:t>International Journal of Health Services</w:t>
      </w:r>
      <w:r w:rsidRPr="0027221D">
        <w:rPr>
          <w:rFonts w:ascii="Times New Roman" w:hAnsi="Times New Roman" w:cs="Times New Roman"/>
          <w:noProof/>
          <w:sz w:val="24"/>
          <w:szCs w:val="24"/>
        </w:rPr>
        <w:t xml:space="preserve">, </w:t>
      </w:r>
      <w:r w:rsidRPr="0027221D">
        <w:rPr>
          <w:rFonts w:ascii="Times New Roman" w:hAnsi="Times New Roman" w:cs="Times New Roman"/>
          <w:i/>
          <w:iCs/>
          <w:noProof/>
          <w:sz w:val="24"/>
          <w:szCs w:val="24"/>
        </w:rPr>
        <w:t>48</w:t>
      </w:r>
      <w:r w:rsidRPr="0027221D">
        <w:rPr>
          <w:rFonts w:ascii="Times New Roman" w:hAnsi="Times New Roman" w:cs="Times New Roman"/>
          <w:noProof/>
          <w:sz w:val="24"/>
          <w:szCs w:val="24"/>
        </w:rPr>
        <w:t>(4), 735–748. https://doi.org/10.1177/0020731418782653</w:t>
      </w:r>
    </w:p>
    <w:p w14:paraId="15FD3CCD"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t xml:space="preserve">Nakamura, T. (2018). </w:t>
      </w:r>
      <w:r w:rsidRPr="0027221D">
        <w:rPr>
          <w:rFonts w:ascii="Times New Roman" w:hAnsi="Times New Roman" w:cs="Times New Roman"/>
          <w:i/>
          <w:iCs/>
          <w:noProof/>
          <w:sz w:val="24"/>
          <w:szCs w:val="24"/>
        </w:rPr>
        <w:t>Mini Review Health and Primary Care Health Prim Car</w:t>
      </w:r>
      <w:r w:rsidRPr="0027221D">
        <w:rPr>
          <w:rFonts w:ascii="Times New Roman" w:hAnsi="Times New Roman" w:cs="Times New Roman"/>
          <w:noProof/>
          <w:sz w:val="24"/>
          <w:szCs w:val="24"/>
        </w:rPr>
        <w:t xml:space="preserve">. </w:t>
      </w:r>
      <w:r w:rsidRPr="0027221D">
        <w:rPr>
          <w:rFonts w:ascii="Times New Roman" w:hAnsi="Times New Roman" w:cs="Times New Roman"/>
          <w:i/>
          <w:iCs/>
          <w:noProof/>
          <w:sz w:val="24"/>
          <w:szCs w:val="24"/>
        </w:rPr>
        <w:t>2</w:t>
      </w:r>
      <w:r w:rsidRPr="0027221D">
        <w:rPr>
          <w:rFonts w:ascii="Times New Roman" w:hAnsi="Times New Roman" w:cs="Times New Roman"/>
          <w:noProof/>
          <w:sz w:val="24"/>
          <w:szCs w:val="24"/>
        </w:rPr>
        <w:t xml:space="preserve">(1), 1–1. </w:t>
      </w:r>
      <w:r w:rsidRPr="0027221D">
        <w:rPr>
          <w:rFonts w:ascii="Times New Roman" w:hAnsi="Times New Roman" w:cs="Times New Roman"/>
          <w:noProof/>
          <w:sz w:val="24"/>
          <w:szCs w:val="24"/>
        </w:rPr>
        <w:lastRenderedPageBreak/>
        <w:t>https://doi.org/10.15761/HPC.1000129</w:t>
      </w:r>
    </w:p>
    <w:p w14:paraId="2F124FC7"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t>New Brunswick Medical Society. (2016). Finding a Family Doctor. Retrieved June 11, 2019, from https://www.nbms.nb.ca/patient-information/finding-a-family-doctor/</w:t>
      </w:r>
    </w:p>
    <w:p w14:paraId="6C8B4DD2"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t xml:space="preserve">New Brunswick Medical Society. (2018). </w:t>
      </w:r>
      <w:r w:rsidRPr="0027221D">
        <w:rPr>
          <w:rFonts w:ascii="Times New Roman" w:hAnsi="Times New Roman" w:cs="Times New Roman"/>
          <w:i/>
          <w:iCs/>
          <w:noProof/>
          <w:sz w:val="24"/>
          <w:szCs w:val="24"/>
        </w:rPr>
        <w:t>A PLAN FOR HEALTH CARE IN NEW BRUNSWICK: ELECTION 2018</w:t>
      </w:r>
      <w:r w:rsidRPr="0027221D">
        <w:rPr>
          <w:rFonts w:ascii="Times New Roman" w:hAnsi="Times New Roman" w:cs="Times New Roman"/>
          <w:noProof/>
          <w:sz w:val="24"/>
          <w:szCs w:val="24"/>
        </w:rPr>
        <w:t>. Retrieved from https://www.nbms.nb.ca/assets/Members-Only/Election-2018/Booklet-Web-ENG.pdf</w:t>
      </w:r>
    </w:p>
    <w:p w14:paraId="37356AE6"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t>Office of the Premier. (2018). Newsroom : Free Prescription Medications for Everyone Under 25. Retrieved June 10, 2019, from https://news.ontario.ca/opo/en/2018/01/free-prescription-medications-for-everyone-under-25.html</w:t>
      </w:r>
    </w:p>
    <w:p w14:paraId="1752CBE7"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t>Patriquin, M. (2016). Can anything save New Brunswick? -MacLeans. Retrieved June 8, 2019, from https://www.macleans.ca/economy/can-anything-save-new-brunswick/</w:t>
      </w:r>
    </w:p>
    <w:p w14:paraId="5E65284B"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t xml:space="preserve">Pinto, A. D., &amp; Bloch, G. (2017). Framework for building primary care capacity to address the social determinants of health. </w:t>
      </w:r>
      <w:r w:rsidRPr="0027221D">
        <w:rPr>
          <w:rFonts w:ascii="Times New Roman" w:hAnsi="Times New Roman" w:cs="Times New Roman"/>
          <w:i/>
          <w:iCs/>
          <w:noProof/>
          <w:sz w:val="24"/>
          <w:szCs w:val="24"/>
        </w:rPr>
        <w:t>Canadian Family Physician Medecin de Famille Canadien</w:t>
      </w:r>
      <w:r w:rsidRPr="0027221D">
        <w:rPr>
          <w:rFonts w:ascii="Times New Roman" w:hAnsi="Times New Roman" w:cs="Times New Roman"/>
          <w:noProof/>
          <w:sz w:val="24"/>
          <w:szCs w:val="24"/>
        </w:rPr>
        <w:t xml:space="preserve">, </w:t>
      </w:r>
      <w:r w:rsidRPr="0027221D">
        <w:rPr>
          <w:rFonts w:ascii="Times New Roman" w:hAnsi="Times New Roman" w:cs="Times New Roman"/>
          <w:i/>
          <w:iCs/>
          <w:noProof/>
          <w:sz w:val="24"/>
          <w:szCs w:val="24"/>
        </w:rPr>
        <w:t>63</w:t>
      </w:r>
      <w:r w:rsidRPr="0027221D">
        <w:rPr>
          <w:rFonts w:ascii="Times New Roman" w:hAnsi="Times New Roman" w:cs="Times New Roman"/>
          <w:noProof/>
          <w:sz w:val="24"/>
          <w:szCs w:val="24"/>
        </w:rPr>
        <w:t>(11), e476–e482. Retrieved from http://www.ncbi.nlm.nih.gov/pubmed/29138172</w:t>
      </w:r>
    </w:p>
    <w:p w14:paraId="69C7BB1B"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t xml:space="preserve">Province of New Brunswick. (2014). </w:t>
      </w:r>
      <w:r w:rsidRPr="0027221D">
        <w:rPr>
          <w:rFonts w:ascii="Times New Roman" w:hAnsi="Times New Roman" w:cs="Times New Roman"/>
          <w:i/>
          <w:iCs/>
          <w:noProof/>
          <w:sz w:val="24"/>
          <w:szCs w:val="24"/>
        </w:rPr>
        <w:t>New Brunswick’s Wellness Strategy 2014-2021 The heart of our future</w:t>
      </w:r>
      <w:r w:rsidRPr="0027221D">
        <w:rPr>
          <w:rFonts w:ascii="Times New Roman" w:hAnsi="Times New Roman" w:cs="Times New Roman"/>
          <w:noProof/>
          <w:sz w:val="24"/>
          <w:szCs w:val="24"/>
        </w:rPr>
        <w:t>. Retrieved from www.gnb.ca</w:t>
      </w:r>
    </w:p>
    <w:p w14:paraId="2E61F04C"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t>Smee, M. (2019). Locals object to Indigenous healing lodge in Scarborough neighbourhood | CBC News. Retrieved June 13, 2019, from CBC News website: https://www.cbc.ca/news/canada/toronto/locals-object-to-indigenous-healing-lodge-in-scarborough-neighbourhood-1.5171332?cmp=newsletter-news-digests-toronto</w:t>
      </w:r>
    </w:p>
    <w:p w14:paraId="7E4C6640"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t xml:space="preserve">Sturmberg, J. P. (2014). Emergent properties define the subjective nature of health and dis-ease. In </w:t>
      </w:r>
      <w:r w:rsidRPr="0027221D">
        <w:rPr>
          <w:rFonts w:ascii="Times New Roman" w:hAnsi="Times New Roman" w:cs="Times New Roman"/>
          <w:i/>
          <w:iCs/>
          <w:noProof/>
          <w:sz w:val="24"/>
          <w:szCs w:val="24"/>
        </w:rPr>
        <w:t>Source: Journal of Public Health Policy</w:t>
      </w:r>
      <w:r w:rsidRPr="0027221D">
        <w:rPr>
          <w:rFonts w:ascii="Times New Roman" w:hAnsi="Times New Roman" w:cs="Times New Roman"/>
          <w:noProof/>
          <w:sz w:val="24"/>
          <w:szCs w:val="24"/>
        </w:rPr>
        <w:t xml:space="preserve"> (Vol. 35). Retrieved from https://0-www-jstor-org.aupac.lib.athabascau.ca/stable/pdf/43288042.pdf?ab_segments=0%2Fdefault-2%2Fcontrol&amp;refreqid=search%3A334ac4a13c6a80f43556693d46cd0d2b</w:t>
      </w:r>
    </w:p>
    <w:p w14:paraId="53FBB2DD"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t>The Wellness Movement. (n.d.). Wellness Info-Graphic. Retrieved June 9, 2019, from http://www.wellnessnb.ca/wp-content/uploads/2014/09/Wellness-rethink-wellness-infographic.pdf</w:t>
      </w:r>
    </w:p>
    <w:p w14:paraId="7A09ADCF"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t xml:space="preserve">Tulloch, A. (2005). What do we mean by health? </w:t>
      </w:r>
      <w:r w:rsidRPr="0027221D">
        <w:rPr>
          <w:rFonts w:ascii="Times New Roman" w:hAnsi="Times New Roman" w:cs="Times New Roman"/>
          <w:i/>
          <w:iCs/>
          <w:noProof/>
          <w:sz w:val="24"/>
          <w:szCs w:val="24"/>
        </w:rPr>
        <w:t>The British Journal of General Practice : The Journal of the Royal College of General Practitioners</w:t>
      </w:r>
      <w:r w:rsidRPr="0027221D">
        <w:rPr>
          <w:rFonts w:ascii="Times New Roman" w:hAnsi="Times New Roman" w:cs="Times New Roman"/>
          <w:noProof/>
          <w:sz w:val="24"/>
          <w:szCs w:val="24"/>
        </w:rPr>
        <w:t xml:space="preserve">, </w:t>
      </w:r>
      <w:r w:rsidRPr="0027221D">
        <w:rPr>
          <w:rFonts w:ascii="Times New Roman" w:hAnsi="Times New Roman" w:cs="Times New Roman"/>
          <w:i/>
          <w:iCs/>
          <w:noProof/>
          <w:sz w:val="24"/>
          <w:szCs w:val="24"/>
        </w:rPr>
        <w:t>55</w:t>
      </w:r>
      <w:r w:rsidRPr="0027221D">
        <w:rPr>
          <w:rFonts w:ascii="Times New Roman" w:hAnsi="Times New Roman" w:cs="Times New Roman"/>
          <w:noProof/>
          <w:sz w:val="24"/>
          <w:szCs w:val="24"/>
        </w:rPr>
        <w:t>(513), 320–323; discussion 321-2. Retrieved from http://www.ncbi.nlm.nih.gov/pubmed/15826449</w:t>
      </w:r>
    </w:p>
    <w:p w14:paraId="605DE31F"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t xml:space="preserve">Vogt, H., Hofmann, B., &amp; Getz, L. (2016). Personalized medicine: evidence of normativity in its quantitative definition of health. </w:t>
      </w:r>
      <w:r w:rsidRPr="0027221D">
        <w:rPr>
          <w:rFonts w:ascii="Times New Roman" w:hAnsi="Times New Roman" w:cs="Times New Roman"/>
          <w:i/>
          <w:iCs/>
          <w:noProof/>
          <w:sz w:val="24"/>
          <w:szCs w:val="24"/>
        </w:rPr>
        <w:t>Theoretical Medicine and Bioethics</w:t>
      </w:r>
      <w:r w:rsidRPr="0027221D">
        <w:rPr>
          <w:rFonts w:ascii="Times New Roman" w:hAnsi="Times New Roman" w:cs="Times New Roman"/>
          <w:noProof/>
          <w:sz w:val="24"/>
          <w:szCs w:val="24"/>
        </w:rPr>
        <w:t xml:space="preserve">, </w:t>
      </w:r>
      <w:r w:rsidRPr="0027221D">
        <w:rPr>
          <w:rFonts w:ascii="Times New Roman" w:hAnsi="Times New Roman" w:cs="Times New Roman"/>
          <w:i/>
          <w:iCs/>
          <w:noProof/>
          <w:sz w:val="24"/>
          <w:szCs w:val="24"/>
        </w:rPr>
        <w:t>37</w:t>
      </w:r>
      <w:r w:rsidRPr="0027221D">
        <w:rPr>
          <w:rFonts w:ascii="Times New Roman" w:hAnsi="Times New Roman" w:cs="Times New Roman"/>
          <w:noProof/>
          <w:sz w:val="24"/>
          <w:szCs w:val="24"/>
        </w:rPr>
        <w:t>, 401–416. https://doi.org/10.1007/s11017-016-9379-3</w:t>
      </w:r>
    </w:p>
    <w:p w14:paraId="0CDEFF18"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t xml:space="preserve">Wang, H., Emrich, T., &amp; Collette, M. (2016). </w:t>
      </w:r>
      <w:r w:rsidRPr="0027221D">
        <w:rPr>
          <w:rFonts w:ascii="Times New Roman" w:hAnsi="Times New Roman" w:cs="Times New Roman"/>
          <w:i/>
          <w:iCs/>
          <w:noProof/>
          <w:sz w:val="24"/>
          <w:szCs w:val="24"/>
        </w:rPr>
        <w:t>A Report from the Office of the Chief Medical Officer of Health Health Inequities in New Brunswick</w:t>
      </w:r>
      <w:r w:rsidRPr="0027221D">
        <w:rPr>
          <w:rFonts w:ascii="Times New Roman" w:hAnsi="Times New Roman" w:cs="Times New Roman"/>
          <w:noProof/>
          <w:sz w:val="24"/>
          <w:szCs w:val="24"/>
        </w:rPr>
        <w:t>. Retrieved from www.gnb.ca/publichealth</w:t>
      </w:r>
    </w:p>
    <w:p w14:paraId="61ED0599" w14:textId="77777777" w:rsidR="0027221D" w:rsidRPr="0027221D" w:rsidRDefault="0027221D" w:rsidP="0027221D">
      <w:pPr>
        <w:widowControl w:val="0"/>
        <w:autoSpaceDE w:val="0"/>
        <w:autoSpaceDN w:val="0"/>
        <w:adjustRightInd w:val="0"/>
        <w:spacing w:before="240" w:after="240" w:line="240" w:lineRule="auto"/>
        <w:ind w:left="480" w:hanging="480"/>
        <w:rPr>
          <w:rFonts w:ascii="Times New Roman" w:hAnsi="Times New Roman" w:cs="Times New Roman"/>
          <w:noProof/>
          <w:sz w:val="24"/>
          <w:szCs w:val="24"/>
        </w:rPr>
      </w:pPr>
      <w:r w:rsidRPr="0027221D">
        <w:rPr>
          <w:rFonts w:ascii="Times New Roman" w:hAnsi="Times New Roman" w:cs="Times New Roman"/>
          <w:noProof/>
          <w:sz w:val="24"/>
          <w:szCs w:val="24"/>
        </w:rPr>
        <w:lastRenderedPageBreak/>
        <w:t>Wikipedia Contributers. (n.d.). Premiers of New Brunswick. Retrieved June 9, 2019, from Wikipedia page website: https://en.wikipedia.org/wiki/List_of_premiers_of_New_Brunswick</w:t>
      </w:r>
    </w:p>
    <w:p w14:paraId="5CFC9C2B" w14:textId="77777777" w:rsidR="0027221D" w:rsidRPr="0027221D" w:rsidRDefault="0027221D" w:rsidP="00781F27">
      <w:pPr>
        <w:spacing w:before="240" w:after="240"/>
        <w:rPr>
          <w:rFonts w:ascii="Times New Roman" w:hAnsi="Times New Roman" w:cs="Times New Roman"/>
          <w:sz w:val="24"/>
          <w:szCs w:val="24"/>
        </w:rPr>
      </w:pPr>
      <w:r w:rsidRPr="0027221D">
        <w:rPr>
          <w:rFonts w:ascii="Times New Roman" w:hAnsi="Times New Roman" w:cs="Times New Roman"/>
          <w:sz w:val="24"/>
          <w:szCs w:val="24"/>
        </w:rPr>
        <w:fldChar w:fldCharType="end"/>
      </w:r>
    </w:p>
    <w:sectPr w:rsidR="0027221D" w:rsidRPr="0027221D">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1F27"/>
    <w:rsid w:val="000555D2"/>
    <w:rsid w:val="0027221D"/>
    <w:rsid w:val="00781F27"/>
    <w:rsid w:val="00CE6F6D"/>
    <w:rsid w:val="00DC4F4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FF5FE2"/>
  <w15:chartTrackingRefBased/>
  <w15:docId w15:val="{1599F467-BC57-4954-AA6C-191DF0951D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81F2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7221D"/>
    <w:rPr>
      <w:color w:val="525252" w:themeColor="accent3" w:themeShade="80"/>
      <w:u w:val="single"/>
    </w:rPr>
  </w:style>
  <w:style w:type="paragraph" w:styleId="ListParagraph">
    <w:name w:val="List Paragraph"/>
    <w:basedOn w:val="Normal"/>
    <w:uiPriority w:val="34"/>
    <w:unhideWhenUsed/>
    <w:qFormat/>
    <w:rsid w:val="0027221D"/>
    <w:pPr>
      <w:spacing w:after="120"/>
      <w:ind w:left="720"/>
      <w:contextualSpacing/>
    </w:pPr>
    <w:rPr>
      <w:color w:val="595959" w:themeColor="text1" w:themeTint="A6"/>
      <w:sz w:val="30"/>
      <w:szCs w:val="3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hyperlink" Target="https://www.youtube.com/watch?v=nTqknri15fQ"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695883843A1C749AC7B77351ACE5248" ma:contentTypeVersion="5" ma:contentTypeDescription="Create a new document." ma:contentTypeScope="" ma:versionID="36af84f782492c0fa60d809c3644f942">
  <xsd:schema xmlns:xsd="http://www.w3.org/2001/XMLSchema" xmlns:xs="http://www.w3.org/2001/XMLSchema" xmlns:p="http://schemas.microsoft.com/office/2006/metadata/properties" xmlns:ns3="d00b3f08-5bbf-45c2-a0bd-b4c4290fab35" xmlns:ns4="a210cf05-598f-4aed-9d41-814c50b992f7" targetNamespace="http://schemas.microsoft.com/office/2006/metadata/properties" ma:root="true" ma:fieldsID="1f7c054be3aa373407ec571b5ffbd2d1" ns3:_="" ns4:_="">
    <xsd:import namespace="d00b3f08-5bbf-45c2-a0bd-b4c4290fab35"/>
    <xsd:import namespace="a210cf05-598f-4aed-9d41-814c50b992f7"/>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0b3f08-5bbf-45c2-a0bd-b4c4290fab3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210cf05-598f-4aed-9d41-814c50b992f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62C7E1D-9D82-4660-8D5F-25FB4CB65D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00b3f08-5bbf-45c2-a0bd-b4c4290fab35"/>
    <ds:schemaRef ds:uri="a210cf05-598f-4aed-9d41-814c50b992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8746265-7A41-4023-B41B-99913B0F2377}">
  <ds:schemaRefs>
    <ds:schemaRef ds:uri="http://schemas.microsoft.com/sharepoint/v3/contenttype/forms"/>
  </ds:schemaRefs>
</ds:datastoreItem>
</file>

<file path=customXml/itemProps3.xml><?xml version="1.0" encoding="utf-8"?>
<ds:datastoreItem xmlns:ds="http://schemas.openxmlformats.org/officeDocument/2006/customXml" ds:itemID="{61BC0B75-E65B-4A7A-B796-55244FA4BC7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8340</Words>
  <Characters>47544</Characters>
  <Application>Microsoft Office Word</Application>
  <DocSecurity>0</DocSecurity>
  <Lines>396</Lines>
  <Paragraphs>111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Colin Chambers</dc:creator>
  <cp:keywords/>
  <dc:description/>
  <cp:lastModifiedBy>Colin Chambers</cp:lastModifiedBy>
  <cp:revision>3</cp:revision>
  <dcterms:created xsi:type="dcterms:W3CDTF">2019-07-27T23:29:00Z</dcterms:created>
  <dcterms:modified xsi:type="dcterms:W3CDTF">2019-07-27T23:30:00Z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http://www.zotero.org/styles/american-political-science-association</vt:lpwstr>
  </property>
  <property fmtid="{D5CDD505-2E9C-101B-9397-08002B2CF9AE}" pid="3" name="Mendeley Recent Style Name 0_1">
    <vt:lpwstr>American Political Science Association</vt:lpwstr>
  </property>
  <property fmtid="{D5CDD505-2E9C-101B-9397-08002B2CF9AE}" pid="4" name="Mendeley Recent Style Id 1_1">
    <vt:lpwstr>http://www.zotero.org/styles/apa</vt:lpwstr>
  </property>
  <property fmtid="{D5CDD505-2E9C-101B-9397-08002B2CF9AE}" pid="5" name="Mendeley Recent Style Name 1_1">
    <vt:lpwstr>American Psychological Association 6th edition</vt:lpwstr>
  </property>
  <property fmtid="{D5CDD505-2E9C-101B-9397-08002B2CF9AE}" pid="6" name="Mendeley Recent Style Id 2_1">
    <vt:lpwstr>http://www.zotero.org/styles/apa-annotated-bibliography</vt:lpwstr>
  </property>
  <property fmtid="{D5CDD505-2E9C-101B-9397-08002B2CF9AE}" pid="7" name="Mendeley Recent Style Name 2_1">
    <vt:lpwstr>American Psychological Association 6th edition (annotated bibliography with abstract)</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10th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Mendeley Document_1">
    <vt:lpwstr>True</vt:lpwstr>
  </property>
  <property fmtid="{D5CDD505-2E9C-101B-9397-08002B2CF9AE}" pid="23" name="Mendeley Unique User Id_1">
    <vt:lpwstr>b1d5b2cf-0308-3de4-afad-445c897024c7</vt:lpwstr>
  </property>
  <property fmtid="{D5CDD505-2E9C-101B-9397-08002B2CF9AE}" pid="24" name="Mendeley Citation Style_1">
    <vt:lpwstr>http://www.zotero.org/styles/apa</vt:lpwstr>
  </property>
  <property fmtid="{D5CDD505-2E9C-101B-9397-08002B2CF9AE}" pid="25" name="ContentTypeId">
    <vt:lpwstr>0x0101005695883843A1C749AC7B77351ACE5248</vt:lpwstr>
  </property>
</Properties>
</file>